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16.jpeg" ContentType="image/jpeg"/>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before="0" w:after="0"/>
        <w:rPr>
          <w:rFonts w:cs="Calibri" w:ascii="Times New Roman" w:hAnsi="Times New Roman"/>
          <w:sz w:val="24"/>
          <w:szCs w:val="24"/>
        </w:rPr>
      </w:pPr>
      <w:r>
        <w:rPr>
          <w:rFonts w:cs="Calibri"/>
          <w:b/>
          <w:bCs/>
          <w:sz w:val="24"/>
          <w:szCs w:val="24"/>
        </w:rPr>
        <w:t>DIRECŢIA GENERALĂ DE ASISTENŢĂ SOCIALĂ</w:t>
      </w:r>
      <w:r>
        <w:rPr>
          <w:rFonts w:cs="Calibri" w:ascii="Times New Roman" w:hAnsi="Times New Roman"/>
          <w:b/>
          <w:bCs/>
          <w:sz w:val="24"/>
          <w:szCs w:val="24"/>
        </w:rPr>
        <w:tab/>
        <w:tab/>
        <w:tab/>
        <w:tab/>
        <w:t xml:space="preserve"> </w:t>
        <w:tab/>
      </w:r>
      <w:r>
        <w:rPr>
          <w:rFonts w:cs="Calibri" w:ascii="Times New Roman" w:hAnsi="Times New Roman"/>
          <w:sz w:val="24"/>
          <w:szCs w:val="24"/>
        </w:rPr>
        <w:t>APROBAT,</w:t>
      </w:r>
    </w:p>
    <w:p>
      <w:pPr>
        <w:pStyle w:val="Normal"/>
        <w:spacing w:lineRule="auto" w:line="240" w:before="0" w:after="0"/>
        <w:rPr>
          <w:rFonts w:cs="Calibri" w:ascii="Times New Roman" w:hAnsi="Times New Roman"/>
          <w:sz w:val="24"/>
          <w:szCs w:val="24"/>
        </w:rPr>
      </w:pPr>
      <w:r>
        <w:rPr>
          <w:rFonts w:cs="Calibri"/>
          <w:b/>
          <w:bCs/>
          <w:sz w:val="24"/>
          <w:szCs w:val="24"/>
        </w:rPr>
        <w:t xml:space="preserve">ŞI PROTECŢIA COPILULUI IALOMIŢA </w:t>
      </w:r>
      <w:r>
        <w:rPr>
          <w:rFonts w:cs="Calibri" w:ascii="Times New Roman" w:hAnsi="Times New Roman"/>
          <w:b/>
          <w:bCs/>
          <w:sz w:val="24"/>
          <w:szCs w:val="24"/>
        </w:rPr>
        <w:tab/>
        <w:tab/>
        <w:tab/>
        <w:tab/>
        <w:t xml:space="preserve">    </w:t>
        <w:tab/>
      </w:r>
      <w:r>
        <w:rPr>
          <w:rFonts w:cs="Calibri" w:ascii="Times New Roman" w:hAnsi="Times New Roman"/>
          <w:sz w:val="24"/>
          <w:szCs w:val="24"/>
        </w:rPr>
        <w:t>DIRECTOR GENERAL,</w:t>
      </w:r>
    </w:p>
    <w:p>
      <w:pPr>
        <w:pStyle w:val="Normal"/>
        <w:spacing w:lineRule="auto" w:line="240" w:before="0" w:after="0"/>
        <w:rPr>
          <w:rFonts w:cs="Calibri" w:ascii="Times New Roman" w:hAnsi="Times New Roman"/>
          <w:b/>
          <w:bCs/>
          <w:sz w:val="24"/>
          <w:szCs w:val="24"/>
        </w:rPr>
      </w:pPr>
      <w:r>
        <w:rPr>
          <w:rFonts w:cs="Calibri" w:ascii="Times New Roman" w:hAnsi="Times New Roman"/>
          <w:sz w:val="24"/>
          <w:szCs w:val="24"/>
        </w:rPr>
        <w:t>Nr. ........./....................</w:t>
      </w:r>
      <w:r>
        <w:rPr>
          <w:rFonts w:cs="Calibri" w:ascii="Times New Roman" w:hAnsi="Times New Roman"/>
          <w:b/>
          <w:bCs/>
          <w:sz w:val="24"/>
          <w:szCs w:val="24"/>
        </w:rPr>
        <w:t xml:space="preserve">                                                                              </w:t>
      </w:r>
      <w:r>
        <w:rPr>
          <w:rFonts w:cs="Calibri" w:ascii="Times New Roman" w:hAnsi="Times New Roman"/>
          <w:sz w:val="24"/>
          <w:szCs w:val="24"/>
        </w:rPr>
        <w:t>Prof. PAUL MARCU</w:t>
      </w:r>
      <w:r>
        <w:rPr>
          <w:rFonts w:cs="Calibri" w:ascii="Times New Roman" w:hAnsi="Times New Roman"/>
          <w:b/>
          <w:bCs/>
          <w:sz w:val="24"/>
          <w:szCs w:val="24"/>
        </w:rPr>
        <w:tab/>
        <w:tab/>
        <w:t xml:space="preserve">                                                            </w:t>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t xml:space="preserve">                            </w:t>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center"/>
        <w:rPr>
          <w:rFonts w:cs="Calibri" w:ascii="Times New Roman" w:hAnsi="Times New Roman"/>
          <w:b/>
          <w:bCs/>
          <w:sz w:val="24"/>
          <w:szCs w:val="24"/>
        </w:rPr>
      </w:pPr>
      <w:r>
        <w:rPr>
          <w:rFonts w:cs="Calibri" w:ascii="Times New Roman" w:hAnsi="Times New Roman"/>
          <w:b/>
          <w:bCs/>
          <w:sz w:val="24"/>
          <w:szCs w:val="24"/>
        </w:rPr>
        <w:t>DOCUMENTAȚIE</w:t>
      </w:r>
      <w:r>
        <w:rPr>
          <w:rFonts w:cs="Calibri" w:ascii="Times New Roman" w:hAnsi="Times New Roman"/>
          <w:b/>
          <w:bCs/>
          <w:sz w:val="24"/>
          <w:szCs w:val="24"/>
        </w:rPr>
        <w:t xml:space="preserve"> DE ATRIBUIRE</w:t>
      </w:r>
    </w:p>
    <w:p>
      <w:pPr>
        <w:pStyle w:val="Normal"/>
        <w:spacing w:lineRule="auto" w:line="240" w:before="0" w:after="0"/>
        <w:jc w:val="center"/>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center"/>
        <w:rPr>
          <w:rFonts w:cs="Calibri" w:ascii="Times New Roman" w:hAnsi="Times New Roman"/>
          <w:b/>
          <w:bCs/>
          <w:sz w:val="24"/>
          <w:szCs w:val="24"/>
        </w:rPr>
      </w:pPr>
      <w:r>
        <w:rPr>
          <w:rFonts w:cs="Calibri" w:ascii="Times New Roman" w:hAnsi="Times New Roman"/>
          <w:b/>
          <w:bCs/>
          <w:sz w:val="24"/>
          <w:szCs w:val="24"/>
        </w:rPr>
        <w:t xml:space="preserve">servicii de formare profesională </w:t>
      </w:r>
    </w:p>
    <w:p>
      <w:pPr>
        <w:pStyle w:val="Normal"/>
        <w:spacing w:lineRule="auto" w:line="240" w:before="0" w:after="0"/>
        <w:jc w:val="center"/>
        <w:rPr>
          <w:rFonts w:cs="Calibri" w:ascii="Times New Roman" w:hAnsi="Times New Roman"/>
          <w:b/>
          <w:bCs/>
          <w:sz w:val="24"/>
          <w:szCs w:val="24"/>
        </w:rPr>
      </w:pPr>
      <w:r>
        <w:rPr>
          <w:rFonts w:cs="Calibri" w:ascii="Times New Roman" w:hAnsi="Times New Roman"/>
          <w:b/>
          <w:bCs/>
          <w:sz w:val="24"/>
          <w:szCs w:val="24"/>
        </w:rPr>
        <w:t>şi pachete conţinând masa, transport participanţi</w:t>
      </w:r>
    </w:p>
    <w:p>
      <w:pPr>
        <w:pStyle w:val="Normal"/>
        <w:spacing w:lineRule="auto" w:line="240" w:before="0" w:after="0"/>
        <w:jc w:val="center"/>
        <w:rPr>
          <w:rFonts w:cs="Calibri" w:ascii="Times New Roman" w:hAnsi="Times New Roman"/>
          <w:b/>
          <w:bCs/>
          <w:sz w:val="24"/>
          <w:szCs w:val="24"/>
        </w:rPr>
      </w:pPr>
      <w:r>
        <w:rPr>
          <w:rFonts w:cs="Calibri" w:ascii="Times New Roman" w:hAnsi="Times New Roman"/>
          <w:b/>
          <w:bCs/>
          <w:sz w:val="24"/>
          <w:szCs w:val="24"/>
        </w:rPr>
        <w:t>în cadrul proiectului „Calificarea Meseriașilor Tradiționali Romi”</w:t>
      </w:r>
    </w:p>
    <w:p>
      <w:pPr>
        <w:pStyle w:val="Normal"/>
        <w:spacing w:lineRule="auto" w:line="240" w:before="0" w:after="0"/>
        <w:jc w:val="center"/>
        <w:rPr>
          <w:rFonts w:cs="Calibri" w:ascii="Times New Roman" w:hAnsi="Times New Roman"/>
          <w:b/>
          <w:bCs/>
          <w:sz w:val="24"/>
          <w:szCs w:val="24"/>
        </w:rPr>
      </w:pPr>
      <w:r>
        <w:rPr>
          <w:rFonts w:cs="Calibri" w:ascii="Times New Roman" w:hAnsi="Times New Roman"/>
          <w:b/>
          <w:bCs/>
          <w:sz w:val="24"/>
          <w:szCs w:val="24"/>
        </w:rPr>
        <w:t>POSDRU/118/6</w:t>
      </w:r>
      <w:r>
        <w:rPr>
          <w:rFonts w:cs="Calibri" w:ascii="Times New Roman" w:hAnsi="Times New Roman"/>
          <w:b/>
          <w:bCs/>
          <w:sz w:val="24"/>
          <w:szCs w:val="24"/>
        </w:rPr>
        <w:t>.2/G/124568</w:t>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ind w:left="2835" w:right="0" w:hanging="0"/>
        <w:rPr>
          <w:rFonts w:cs="Calibri" w:ascii="Times New Roman" w:hAnsi="Times New Roman"/>
          <w:sz w:val="24"/>
          <w:szCs w:val="24"/>
        </w:rPr>
      </w:pPr>
      <w:r>
        <w:rPr>
          <w:rFonts w:cs="Calibri" w:ascii="Times New Roman" w:hAnsi="Times New Roman"/>
          <w:sz w:val="24"/>
          <w:szCs w:val="24"/>
        </w:rPr>
        <w:t xml:space="preserve">SECŢIUNEA I </w:t>
        <w:tab/>
        <w:t xml:space="preserve"> FIȘA DE DATE A ACHIZIȚIEI</w:t>
      </w:r>
    </w:p>
    <w:p>
      <w:pPr>
        <w:pStyle w:val="Normal"/>
        <w:spacing w:lineRule="auto" w:line="240" w:before="0" w:after="0"/>
        <w:ind w:left="2835" w:right="0" w:hanging="0"/>
        <w:rPr>
          <w:rFonts w:cs="Calibri" w:ascii="Times New Roman" w:hAnsi="Times New Roman"/>
          <w:sz w:val="24"/>
          <w:szCs w:val="24"/>
        </w:rPr>
      </w:pPr>
      <w:r>
        <w:rPr>
          <w:rFonts w:cs="Calibri" w:ascii="Times New Roman" w:hAnsi="Times New Roman"/>
          <w:sz w:val="24"/>
          <w:szCs w:val="24"/>
        </w:rPr>
        <w:t xml:space="preserve">SECŢIUNEA II </w:t>
        <w:tab/>
        <w:t xml:space="preserve"> CAIETUL DE SARCINI</w:t>
      </w:r>
    </w:p>
    <w:p>
      <w:pPr>
        <w:pStyle w:val="Normal"/>
        <w:spacing w:lineRule="auto" w:line="240" w:before="0" w:after="0"/>
        <w:ind w:left="2835" w:right="0" w:hanging="0"/>
        <w:rPr>
          <w:rFonts w:cs="Calibri" w:ascii="Times New Roman" w:hAnsi="Times New Roman"/>
          <w:sz w:val="24"/>
          <w:szCs w:val="24"/>
        </w:rPr>
      </w:pPr>
      <w:r>
        <w:rPr>
          <w:rFonts w:cs="Calibri" w:ascii="Times New Roman" w:hAnsi="Times New Roman"/>
          <w:sz w:val="24"/>
          <w:szCs w:val="24"/>
        </w:rPr>
        <w:t>SECŢIUNEA III  FORMULARE</w:t>
      </w:r>
    </w:p>
    <w:p>
      <w:pPr>
        <w:pStyle w:val="Normal"/>
        <w:spacing w:lineRule="auto" w:line="240" w:before="0" w:after="0"/>
        <w:ind w:left="2835" w:right="0" w:hanging="0"/>
        <w:rPr>
          <w:rFonts w:cs="Calibri" w:ascii="Times New Roman" w:hAnsi="Times New Roman"/>
          <w:sz w:val="24"/>
          <w:szCs w:val="24"/>
        </w:rPr>
      </w:pPr>
      <w:r>
        <w:rPr>
          <w:rFonts w:cs="Calibri" w:ascii="Times New Roman" w:hAnsi="Times New Roman"/>
          <w:sz w:val="24"/>
          <w:szCs w:val="24"/>
        </w:rPr>
        <w:t>SECŢIUNEA IV</w:t>
        <w:tab/>
        <w:t xml:space="preserve">  MODEL ORIENTATIV DE CONTRACT</w:t>
      </w:r>
    </w:p>
    <w:p>
      <w:pPr>
        <w:pStyle w:val="Normal"/>
        <w:spacing w:lineRule="auto" w:line="240" w:before="0" w:after="0"/>
        <w:ind w:left="2835" w:right="0" w:hanging="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sz w:val="24"/>
          <w:szCs w:val="24"/>
        </w:rPr>
      </w:pPr>
      <w:r>
        <w:rPr>
          <w:rFonts w:cs="Calibri" w:ascii="Times New Roman" w:hAnsi="Times New Roman"/>
          <w:sz w:val="24"/>
          <w:szCs w:val="24"/>
        </w:rPr>
        <w:t>Director Economic,</w:t>
      </w:r>
    </w:p>
    <w:p>
      <w:pPr>
        <w:pStyle w:val="Normal"/>
        <w:spacing w:lineRule="auto" w:line="240" w:before="0" w:after="0"/>
        <w:jc w:val="right"/>
        <w:rPr>
          <w:rFonts w:cs="Calibri" w:ascii="Times New Roman" w:hAnsi="Times New Roman"/>
          <w:sz w:val="24"/>
          <w:szCs w:val="24"/>
        </w:rPr>
      </w:pPr>
      <w:r>
        <w:rPr>
          <w:rFonts w:cs="Calibri" w:ascii="Times New Roman" w:hAnsi="Times New Roman"/>
          <w:sz w:val="24"/>
          <w:szCs w:val="24"/>
        </w:rPr>
        <w:t xml:space="preserve"> </w:t>
      </w:r>
      <w:r>
        <w:rPr>
          <w:rFonts w:cs="Calibri" w:ascii="Times New Roman" w:hAnsi="Times New Roman"/>
          <w:sz w:val="24"/>
          <w:szCs w:val="24"/>
        </w:rPr>
        <w:t>Lucreția Buda</w:t>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ind w:left="6375" w:right="0" w:firstLine="705"/>
        <w:jc w:val="right"/>
        <w:rPr>
          <w:rFonts w:cs="Calibri"/>
          <w:sz w:val="24"/>
          <w:szCs w:val="24"/>
        </w:rPr>
      </w:pPr>
      <w:r>
        <w:rPr>
          <w:rFonts w:cs="Calibri"/>
          <w:sz w:val="24"/>
          <w:szCs w:val="24"/>
        </w:rPr>
        <w:t>Întocmit,</w:t>
      </w:r>
    </w:p>
    <w:p>
      <w:pPr>
        <w:pStyle w:val="Normal"/>
        <w:spacing w:lineRule="auto" w:line="240" w:before="0" w:after="0"/>
        <w:ind w:left="0" w:right="0" w:firstLine="705"/>
        <w:jc w:val="right"/>
        <w:rPr>
          <w:rFonts w:cs="Calibri"/>
          <w:sz w:val="24"/>
          <w:szCs w:val="24"/>
        </w:rPr>
      </w:pPr>
      <w:r>
        <w:rPr>
          <w:rFonts w:cs="Calibri"/>
          <w:sz w:val="24"/>
          <w:szCs w:val="24"/>
        </w:rPr>
        <w:tab/>
        <w:tab/>
        <w:tab/>
        <w:tab/>
        <w:tab/>
        <w:tab/>
        <w:t>Responsabil financiar</w:t>
      </w:r>
    </w:p>
    <w:p>
      <w:pPr>
        <w:pStyle w:val="Normal"/>
        <w:spacing w:lineRule="auto" w:line="240" w:before="0" w:after="0"/>
        <w:ind w:left="705" w:right="0" w:hanging="0"/>
        <w:jc w:val="right"/>
        <w:rPr>
          <w:rFonts w:cs="Calibri"/>
          <w:sz w:val="24"/>
          <w:szCs w:val="24"/>
        </w:rPr>
      </w:pPr>
      <w:r>
        <w:rPr>
          <w:rFonts w:cs="Calibri"/>
          <w:sz w:val="24"/>
          <w:szCs w:val="24"/>
        </w:rPr>
        <w:t xml:space="preserve">     </w:t>
      </w:r>
      <w:r>
        <w:rPr>
          <w:rFonts w:cs="Calibri"/>
          <w:sz w:val="24"/>
          <w:szCs w:val="24"/>
        </w:rPr>
        <w:tab/>
        <w:tab/>
        <w:tab/>
        <w:tab/>
        <w:tab/>
        <w:tab/>
        <w:tab/>
        <w:t>Cristina Vasile</w:t>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center"/>
        <w:rPr>
          <w:rFonts w:cs="Calibri"/>
          <w:b/>
          <w:bCs/>
          <w:sz w:val="24"/>
          <w:szCs w:val="24"/>
        </w:rPr>
      </w:pPr>
      <w:r>
        <w:rPr>
          <w:rFonts w:cs="Calibri"/>
          <w:b/>
          <w:bCs/>
          <w:sz w:val="24"/>
          <w:szCs w:val="24"/>
        </w:rPr>
        <w:t>SECŢIUNEA I</w:t>
      </w:r>
    </w:p>
    <w:p>
      <w:pPr>
        <w:pStyle w:val="Normal"/>
        <w:spacing w:lineRule="auto" w:line="240" w:before="0" w:after="0"/>
        <w:jc w:val="center"/>
        <w:rPr>
          <w:rFonts w:cs="Calibri"/>
          <w:b/>
          <w:bCs/>
          <w:sz w:val="24"/>
          <w:szCs w:val="24"/>
        </w:rPr>
      </w:pPr>
      <w:r>
        <w:rPr>
          <w:rFonts w:cs="Calibri"/>
          <w:b/>
          <w:bCs/>
          <w:sz w:val="24"/>
          <w:szCs w:val="24"/>
        </w:rPr>
        <w:t>FIŞA DE DATE</w:t>
      </w:r>
    </w:p>
    <w:p>
      <w:pPr>
        <w:pStyle w:val="Normal"/>
        <w:spacing w:lineRule="auto" w:line="240" w:before="0" w:after="0"/>
        <w:jc w:val="center"/>
        <w:rPr>
          <w:rFonts w:cs="Calibri"/>
          <w:b/>
          <w:bCs/>
        </w:rPr>
      </w:pPr>
      <w:r>
        <w:rPr>
          <w:rFonts w:cs="Calibri"/>
          <w:b/>
          <w:bCs/>
        </w:rPr>
      </w:r>
    </w:p>
    <w:p>
      <w:pPr>
        <w:pStyle w:val="Normal"/>
        <w:spacing w:lineRule="auto" w:line="240" w:before="0" w:after="0"/>
        <w:jc w:val="center"/>
        <w:rPr>
          <w:rFonts w:cs="Calibri"/>
          <w:b/>
          <w:bCs/>
        </w:rPr>
      </w:pPr>
      <w:r>
        <w:rPr>
          <w:rFonts w:cs="Calibri"/>
          <w:b/>
          <w:bCs/>
        </w:rPr>
      </w:r>
    </w:p>
    <w:p>
      <w:pPr>
        <w:pStyle w:val="Normal"/>
        <w:spacing w:lineRule="auto" w:line="240" w:before="0" w:after="0"/>
        <w:jc w:val="center"/>
        <w:rPr>
          <w:rFonts w:cs="Calibri"/>
          <w:b/>
          <w:bCs/>
        </w:rPr>
      </w:pPr>
      <w:r>
        <w:rPr>
          <w:rFonts w:cs="Calibri"/>
          <w:b/>
          <w:bCs/>
        </w:rPr>
      </w:r>
    </w:p>
    <w:p>
      <w:pPr>
        <w:pStyle w:val="Normal"/>
        <w:spacing w:lineRule="auto" w:line="240" w:before="0" w:after="0"/>
        <w:rPr>
          <w:rFonts w:cs="Calibri"/>
          <w:b/>
          <w:bCs/>
        </w:rPr>
      </w:pPr>
      <w:r>
        <w:rPr>
          <w:rFonts w:cs="Calibri"/>
          <w:b/>
          <w:bCs/>
        </w:rPr>
        <w:t>I. AUTORITATEA CONTRACTANTĂ</w:t>
      </w:r>
    </w:p>
    <w:p>
      <w:pPr>
        <w:pStyle w:val="Normal"/>
        <w:spacing w:lineRule="auto" w:line="240" w:before="0" w:after="0"/>
        <w:rPr>
          <w:rFonts w:cs="Calibri"/>
        </w:rPr>
      </w:pPr>
      <w:r>
        <w:rPr>
          <w:rFonts w:cs="Calibri"/>
        </w:rPr>
        <w:t>DIRECŢIA GENERALĂ DE ASISTENŢĂ SOCIALĂ ŞI PROTECŢIA COPILULUI IALOMIŢA</w:t>
      </w:r>
    </w:p>
    <w:p>
      <w:pPr>
        <w:pStyle w:val="Normal"/>
        <w:spacing w:lineRule="auto" w:line="240" w:before="0" w:after="0"/>
        <w:rPr>
          <w:rFonts w:cs="Calibri"/>
        </w:rPr>
      </w:pPr>
      <w:r>
        <w:rPr>
          <w:rFonts w:cs="Calibri"/>
        </w:rPr>
        <w:t>adresa poştală: str. Ct.D.Gherea, nr.1, localitatea: Slobozia, cod poştal: 920033, contact: Serviciul Achiziţii, ţel. +40 0243231088, email: office@dpcialomita.ro, fax: +40 0243233407</w:t>
      </w:r>
    </w:p>
    <w:p>
      <w:pPr>
        <w:pStyle w:val="Normal"/>
        <w:spacing w:lineRule="auto" w:line="240" w:before="0" w:after="0"/>
        <w:rPr>
          <w:rFonts w:cs="Calibri"/>
        </w:rPr>
      </w:pPr>
      <w:r>
        <w:rPr>
          <w:rFonts w:cs="Calibri"/>
        </w:rPr>
      </w:r>
    </w:p>
    <w:p>
      <w:pPr>
        <w:pStyle w:val="Normal"/>
        <w:spacing w:lineRule="auto" w:line="240" w:before="0" w:after="0"/>
        <w:rPr>
          <w:rFonts w:cs="Calibri"/>
          <w:b/>
          <w:bCs/>
        </w:rPr>
      </w:pPr>
      <w:r>
        <w:rPr>
          <w:rFonts w:cs="Calibri"/>
          <w:b/>
          <w:bCs/>
        </w:rPr>
        <w:t>ÎI. OBIECTUL CONTRACTULUI</w:t>
      </w:r>
    </w:p>
    <w:p>
      <w:pPr>
        <w:pStyle w:val="Normal"/>
        <w:spacing w:lineRule="auto" w:line="240" w:before="0" w:after="0"/>
        <w:rPr>
          <w:rFonts w:cs="Calibri"/>
        </w:rPr>
      </w:pPr>
      <w:r>
        <w:rPr>
          <w:rFonts w:cs="Calibri"/>
        </w:rPr>
        <w:t>Achiziţie de servicii de formare profesională şi de pachete conţinând masa, transport participanţi în cadrul proiectului „Calificarea meseriaşilor tradiţionali romi” POSDRU/118/6.2/G/124568</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Locul principal de prestare: Slobozia, Urziceni, Traian, Feteşti</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Descrierea succintă a achiziţiilor:</w:t>
      </w:r>
    </w:p>
    <w:p>
      <w:pPr>
        <w:pStyle w:val="Normal"/>
        <w:spacing w:lineRule="auto" w:line="240" w:before="0" w:after="0"/>
        <w:rPr>
          <w:rFonts w:cs="Calibri"/>
        </w:rPr>
      </w:pPr>
      <w:r>
        <w:rPr>
          <w:rFonts w:cs="Calibri"/>
        </w:rPr>
        <w:t xml:space="preserve">a) Organizarea de cursuri de calificare de nivel 1 pentru 125 de beneficiari ai proiectului; </w:t>
      </w:r>
    </w:p>
    <w:p>
      <w:pPr>
        <w:pStyle w:val="Normal"/>
        <w:spacing w:lineRule="auto" w:line="240" w:before="0" w:after="0"/>
        <w:rPr>
          <w:rFonts w:cs="Calibri"/>
        </w:rPr>
      </w:pPr>
      <w:r>
        <w:rPr>
          <w:rFonts w:cs="Calibri"/>
        </w:rPr>
        <w:t>b) Asigurarea mesei şi transportului participanţilor la cursuri.</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Clasificare CPV (vocabularul comun privind achiziţiile)</w:t>
      </w:r>
    </w:p>
    <w:p>
      <w:pPr>
        <w:pStyle w:val="Normal"/>
        <w:spacing w:lineRule="auto" w:line="240" w:before="0" w:after="0"/>
        <w:rPr>
          <w:rFonts w:cs="Calibri"/>
        </w:rPr>
      </w:pPr>
      <w:r>
        <w:rPr>
          <w:rFonts w:cs="Calibri"/>
        </w:rPr>
        <w:t>80530000-8 Servicii de formare profesională (Rev.2)</w:t>
      </w:r>
    </w:p>
    <w:p>
      <w:pPr>
        <w:pStyle w:val="Normal"/>
        <w:spacing w:lineRule="auto" w:line="240" w:before="0" w:after="0"/>
        <w:rPr>
          <w:rFonts w:cs="Calibri"/>
        </w:rPr>
      </w:pPr>
      <w:r>
        <w:rPr>
          <w:rFonts w:cs="Calibri"/>
        </w:rPr>
        <w:t>60000000-8 Servicii de transport (cu excepţia transportului de deşeuri) (Rev.2)</w:t>
      </w:r>
    </w:p>
    <w:p>
      <w:pPr>
        <w:pStyle w:val="Normal"/>
        <w:spacing w:lineRule="auto" w:line="240" w:before="0" w:after="0"/>
        <w:rPr>
          <w:rFonts w:cs="Calibri"/>
        </w:rPr>
      </w:pPr>
      <w:r>
        <w:rPr>
          <w:rFonts w:cs="Calibri"/>
        </w:rPr>
        <w:t>55520000-1 Servicii de catering (Rev.2)</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Împărţire în loturi, unul sau mai multe loturi</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 xml:space="preserve">Valoarea estimată fără TVA: </w:t>
      </w:r>
    </w:p>
    <w:p>
      <w:pPr>
        <w:pStyle w:val="Normal"/>
        <w:spacing w:lineRule="auto" w:line="240" w:before="0" w:after="0"/>
        <w:rPr>
          <w:rFonts w:cs="Calibri"/>
          <w:b/>
          <w:bCs/>
        </w:rPr>
      </w:pPr>
      <w:r>
        <w:rPr>
          <w:rFonts w:cs="Calibri"/>
          <w:b/>
          <w:bCs/>
        </w:rPr>
        <w:t xml:space="preserve">Lotul 1 CURSURI DE FORMARE PROFESIONALĂ -  117650 lei </w:t>
      </w:r>
    </w:p>
    <w:p>
      <w:pPr>
        <w:pStyle w:val="Normal"/>
        <w:spacing w:lineRule="auto" w:line="240" w:before="0" w:after="0"/>
        <w:rPr>
          <w:rFonts w:cs="Calibri"/>
          <w:b/>
          <w:bCs/>
        </w:rPr>
      </w:pPr>
      <w:r>
        <w:rPr>
          <w:rFonts w:cs="Calibri"/>
          <w:b/>
          <w:bCs/>
        </w:rPr>
        <w:t>Lotul 2 PACHETE CONȚINÂND TRANSPORT ŞI MASĂ PARTICIPANȚI - 181451,61 lei fără tva</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Termenul pentru finalizarea contractului: 31.08.201</w:t>
      </w:r>
      <w:r>
        <w:rPr>
          <w:rFonts w:cs="Calibri"/>
        </w:rPr>
        <w:t>5</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 xml:space="preserve">Contractul se înscrie într-un </w:t>
      </w:r>
      <w:r>
        <w:rPr>
          <w:rFonts w:cs="Calibri"/>
          <w:b/>
          <w:bCs/>
        </w:rPr>
        <w:t>proiect finanţat din fonduri comunitare</w:t>
      </w:r>
      <w:r>
        <w:rPr>
          <w:rFonts w:cs="Calibri"/>
        </w:rPr>
        <w:t>:</w:t>
      </w:r>
    </w:p>
    <w:p>
      <w:pPr>
        <w:pStyle w:val="Normal"/>
        <w:numPr>
          <w:ilvl w:val="0"/>
          <w:numId w:val="6"/>
        </w:numPr>
        <w:spacing w:lineRule="auto" w:line="240" w:before="0" w:after="0"/>
        <w:rPr>
          <w:rFonts w:cs="Calibri"/>
        </w:rPr>
      </w:pPr>
      <w:r>
        <w:rPr>
          <w:rFonts w:cs="Calibri"/>
        </w:rPr>
        <w:t>Fondul Social European</w:t>
      </w:r>
    </w:p>
    <w:p>
      <w:pPr>
        <w:pStyle w:val="Normal"/>
        <w:numPr>
          <w:ilvl w:val="0"/>
          <w:numId w:val="6"/>
        </w:numPr>
        <w:spacing w:lineRule="auto" w:line="240" w:before="0" w:after="0"/>
        <w:rPr>
          <w:rFonts w:cs="Calibri"/>
        </w:rPr>
      </w:pPr>
      <w:r>
        <w:rPr>
          <w:rFonts w:cs="Calibri"/>
        </w:rPr>
        <w:t>Programul Operaţional Sectorial Dezvoltarea Resurselor Umane 2007 – 2013</w:t>
      </w:r>
    </w:p>
    <w:p>
      <w:pPr>
        <w:pStyle w:val="Normal"/>
        <w:numPr>
          <w:ilvl w:val="0"/>
          <w:numId w:val="6"/>
        </w:numPr>
        <w:spacing w:lineRule="auto" w:line="240" w:before="0" w:after="0"/>
        <w:rPr>
          <w:rFonts w:cs="Calibri"/>
        </w:rPr>
      </w:pPr>
      <w:r>
        <w:rPr>
          <w:rFonts w:cs="Calibri"/>
        </w:rPr>
        <w:t>Axa prioritara 6 „Promovarea incluziunii sociale”</w:t>
      </w:r>
    </w:p>
    <w:p>
      <w:pPr>
        <w:pStyle w:val="Normal"/>
        <w:numPr>
          <w:ilvl w:val="0"/>
          <w:numId w:val="6"/>
        </w:numPr>
        <w:spacing w:lineRule="auto" w:line="240" w:before="0" w:after="0"/>
        <w:rPr>
          <w:rFonts w:cs="Calibri"/>
        </w:rPr>
      </w:pPr>
      <w:r>
        <w:rPr>
          <w:rFonts w:cs="Calibri"/>
        </w:rPr>
        <w:t>Domeniul major de intervenţie 6.2. „Îmbunătăţirea accesului şi a participării grupurilor vulnerabile pe piaţa muncii”</w:t>
      </w:r>
    </w:p>
    <w:p>
      <w:pPr>
        <w:pStyle w:val="Normal"/>
        <w:numPr>
          <w:ilvl w:val="0"/>
          <w:numId w:val="6"/>
        </w:numPr>
        <w:spacing w:lineRule="auto" w:line="240" w:before="0" w:after="0"/>
        <w:rPr>
          <w:rFonts w:cs="Calibri"/>
        </w:rPr>
      </w:pPr>
      <w:r>
        <w:rPr>
          <w:rFonts w:cs="Calibri"/>
        </w:rPr>
        <w:t>Contractul de finanţare POSDRU/118/6.2/G/124568</w:t>
      </w:r>
    </w:p>
    <w:p>
      <w:pPr>
        <w:pStyle w:val="Normal"/>
        <w:numPr>
          <w:ilvl w:val="0"/>
          <w:numId w:val="6"/>
        </w:numPr>
        <w:spacing w:lineRule="auto" w:line="240" w:before="0" w:after="0"/>
        <w:rPr>
          <w:rFonts w:cs="Calibri"/>
        </w:rPr>
      </w:pPr>
      <w:r>
        <w:rPr>
          <w:rFonts w:cs="Calibri"/>
        </w:rPr>
        <w:t>Titlul proiectului: "Calificarea meseriaşilor tradiţionali romi"</w:t>
      </w:r>
    </w:p>
    <w:p>
      <w:pPr>
        <w:pStyle w:val="Normal"/>
        <w:spacing w:lineRule="auto" w:line="240" w:before="0" w:after="0"/>
        <w:rPr>
          <w:rFonts w:cs="Calibri"/>
        </w:rPr>
      </w:pPr>
      <w:r>
        <w:rPr>
          <w:rFonts w:cs="Calibri"/>
        </w:rPr>
      </w:r>
    </w:p>
    <w:p>
      <w:pPr>
        <w:pStyle w:val="Normal"/>
        <w:spacing w:lineRule="auto" w:line="240" w:before="0" w:after="0"/>
        <w:rPr>
          <w:rFonts w:cs="Calibri"/>
          <w:b/>
          <w:bCs/>
        </w:rPr>
      </w:pPr>
      <w:r>
        <w:rPr>
          <w:rFonts w:cs="Calibri"/>
          <w:b/>
          <w:bCs/>
        </w:rPr>
        <w:t>III. INFORMAŢII JURIDICE, ECONOMICE, FINANCIARE ŞI TEHNICE</w:t>
      </w:r>
    </w:p>
    <w:p>
      <w:pPr>
        <w:pStyle w:val="Normal"/>
        <w:spacing w:lineRule="auto" w:line="240" w:before="0" w:after="0"/>
        <w:rPr>
          <w:rFonts w:cs="Calibri"/>
        </w:rPr>
      </w:pPr>
      <w:r>
        <w:rPr>
          <w:rFonts w:cs="Calibri"/>
        </w:rPr>
      </w:r>
    </w:p>
    <w:p>
      <w:pPr>
        <w:pStyle w:val="Normal"/>
        <w:spacing w:lineRule="auto" w:line="240" w:before="0" w:after="0"/>
        <w:rPr>
          <w:rFonts w:cs="Calibri"/>
        </w:rPr>
      </w:pPr>
      <w:r>
        <w:rPr>
          <w:rFonts w:cs="Calibri"/>
        </w:rPr>
        <w:t>Proiect finanţat din FSE, Bugetul Naţional şi bugetul local prin POSDRU 2007-2013</w:t>
      </w:r>
    </w:p>
    <w:p>
      <w:pPr>
        <w:pStyle w:val="Normal"/>
        <w:spacing w:lineRule="auto" w:line="240" w:before="0" w:after="0"/>
        <w:rPr>
          <w:rFonts w:cs="Calibri"/>
          <w:b/>
          <w:bCs/>
        </w:rPr>
      </w:pPr>
      <w:r>
        <w:rPr>
          <w:rFonts w:cs="Calibri"/>
          <w:b/>
          <w:bCs/>
        </w:rPr>
      </w:r>
    </w:p>
    <w:p>
      <w:pPr>
        <w:pStyle w:val="Normal"/>
        <w:spacing w:lineRule="auto" w:line="240" w:before="0" w:after="0"/>
        <w:rPr>
          <w:rFonts w:cs="Calibri"/>
          <w:b/>
          <w:bCs/>
        </w:rPr>
      </w:pPr>
      <w:r>
        <w:rPr>
          <w:rFonts w:cs="Calibri"/>
          <w:b/>
          <w:bCs/>
        </w:rPr>
        <w:t>Legislaţia aplicabilă:</w:t>
      </w:r>
    </w:p>
    <w:p>
      <w:pPr>
        <w:pStyle w:val="Normal"/>
        <w:numPr>
          <w:ilvl w:val="0"/>
          <w:numId w:val="19"/>
        </w:numPr>
        <w:spacing w:lineRule="auto" w:line="240" w:before="0" w:after="0"/>
        <w:rPr>
          <w:rFonts w:cs="Calibri"/>
        </w:rPr>
      </w:pPr>
      <w:r>
        <w:rPr>
          <w:rFonts w:cs="Calibri"/>
        </w:rPr>
        <w:t>Ordonanţa de urgenţă a Guvernului nr. 34/2006 privind atribuirea contractelor de achiziţie publică, a contractelor de concesiune de lucrări publice şi a contractelor de concesiune de servicii, aprobată cu modificări şi completări prin Legea nr. 337/2006, cu modificările şi completările ulterioare (art. 16);</w:t>
      </w:r>
    </w:p>
    <w:p>
      <w:pPr>
        <w:pStyle w:val="Normal"/>
        <w:numPr>
          <w:ilvl w:val="0"/>
          <w:numId w:val="19"/>
        </w:numPr>
        <w:spacing w:lineRule="auto" w:line="240" w:before="0" w:after="0"/>
        <w:rPr>
          <w:rFonts w:cs="Calibri"/>
        </w:rPr>
      </w:pPr>
      <w:r>
        <w:rPr>
          <w:rFonts w:cs="Calibri"/>
        </w:rPr>
        <w:t>Procedura internă privind achizițiile publice de servicii incluse în anexa 2B.</w:t>
      </w:r>
    </w:p>
    <w:p>
      <w:pPr>
        <w:pStyle w:val="Normal"/>
        <w:spacing w:lineRule="auto" w:line="240" w:before="0" w:after="0"/>
        <w:rPr>
          <w:rFonts w:cs="Calibri"/>
          <w:b/>
          <w:bCs/>
        </w:rPr>
      </w:pPr>
      <w:r>
        <w:rPr>
          <w:rFonts w:cs="Calibri"/>
          <w:b/>
          <w:bCs/>
        </w:rPr>
      </w:r>
    </w:p>
    <w:p>
      <w:pPr>
        <w:pStyle w:val="Normal"/>
        <w:spacing w:lineRule="auto" w:line="240" w:before="0" w:after="0"/>
        <w:rPr>
          <w:rFonts w:cs="Calibri"/>
          <w:b/>
          <w:bCs/>
        </w:rPr>
      </w:pPr>
      <w:r>
        <w:rPr>
          <w:rFonts w:cs="Calibri"/>
          <w:b/>
          <w:bCs/>
        </w:rPr>
      </w:r>
    </w:p>
    <w:p>
      <w:pPr>
        <w:pStyle w:val="Normal"/>
        <w:spacing w:lineRule="auto" w:line="240" w:before="0" w:after="0"/>
        <w:rPr>
          <w:rFonts w:cs="Calibri"/>
          <w:b/>
          <w:bCs/>
        </w:rPr>
      </w:pPr>
      <w:r>
        <w:rPr>
          <w:rFonts w:cs="Calibri"/>
          <w:b/>
          <w:bCs/>
        </w:rPr>
        <w:t>Condiţii de participare</w:t>
      </w:r>
    </w:p>
    <w:p>
      <w:pPr>
        <w:pStyle w:val="Normal"/>
        <w:spacing w:lineRule="auto" w:line="240" w:before="0" w:after="0"/>
        <w:rPr>
          <w:rFonts w:cs="Calibri"/>
          <w:b/>
          <w:bCs/>
        </w:rPr>
      </w:pPr>
      <w:r>
        <w:rPr>
          <w:rFonts w:cs="Calibri"/>
          <w:b/>
          <w:bCs/>
        </w:rPr>
        <w:t>Situaţia personală a candidatului sau ofertantului:</w:t>
      </w:r>
    </w:p>
    <w:p>
      <w:pPr>
        <w:pStyle w:val="Normal"/>
        <w:spacing w:lineRule="auto" w:line="240" w:before="0" w:after="0"/>
        <w:ind w:left="705" w:right="0" w:hanging="0"/>
        <w:rPr>
          <w:rFonts w:cs="Calibri"/>
        </w:rPr>
      </w:pPr>
      <w:r>
        <w:rPr>
          <w:rFonts w:cs="Calibri"/>
        </w:rPr>
        <w:t>Cerinţa nr. 1 - Declaraţie privind eligibilitatea (neîncadrarea în prevederile art. 180 din O.U.G. 34/2006 cu modificările şi completările ulterioare).</w:t>
      </w:r>
    </w:p>
    <w:p>
      <w:pPr>
        <w:pStyle w:val="Normal"/>
        <w:spacing w:lineRule="auto" w:line="240" w:before="0" w:after="0"/>
        <w:ind w:left="705" w:right="0" w:hanging="0"/>
        <w:rPr>
          <w:rFonts w:cs="Calibri"/>
        </w:rPr>
      </w:pPr>
      <w:r>
        <w:rPr>
          <w:rFonts w:cs="Calibri"/>
        </w:rPr>
        <w:t xml:space="preserve">Cerinţa nr. 2 - Declaraţie pe proprie răspundere privind neîncadrarea în situaţiile prevăzute la art. 181 din O.U.G. nr. 34 / 2006. </w:t>
      </w:r>
    </w:p>
    <w:p>
      <w:pPr>
        <w:pStyle w:val="Normal"/>
        <w:spacing w:lineRule="auto" w:line="240" w:before="0" w:after="0"/>
        <w:ind w:left="705" w:right="0" w:hanging="0"/>
        <w:rPr>
          <w:rFonts w:cs="Calibri"/>
        </w:rPr>
      </w:pPr>
      <w:r>
        <w:rPr>
          <w:rFonts w:cs="Calibri"/>
        </w:rPr>
        <w:t xml:space="preserve">Cerinţa nr. 3 - Certificat de participare la licitaţie cu oferta independenta </w:t>
      </w:r>
    </w:p>
    <w:p>
      <w:pPr>
        <w:pStyle w:val="Normal"/>
        <w:spacing w:lineRule="auto" w:line="240" w:before="0" w:after="0"/>
        <w:ind w:left="705" w:right="0" w:hanging="0"/>
        <w:rPr>
          <w:rFonts w:cs="Calibri"/>
        </w:rPr>
      </w:pPr>
      <w:r>
        <w:rPr>
          <w:rFonts w:cs="Calibri"/>
        </w:rPr>
        <w:t>Cerinţa nr. 4 - Declaraţie privind neîncadrarea în situaţiile prevăzute de art 69^1 din OUG nr 34/2006, cu modificările şi completările ulterioare</w:t>
      </w:r>
    </w:p>
    <w:p>
      <w:pPr>
        <w:pStyle w:val="Normal"/>
        <w:spacing w:lineRule="auto" w:line="240" w:before="0" w:after="0"/>
        <w:ind w:left="705" w:right="0" w:hanging="0"/>
        <w:rPr>
          <w:rFonts w:cs="Calibri"/>
        </w:rPr>
      </w:pPr>
      <w:r>
        <w:rPr>
          <w:rFonts w:cs="Calibri"/>
        </w:rPr>
        <w:t xml:space="preserve">Persoanele cu funcţii de decizie: </w:t>
      </w:r>
    </w:p>
    <w:p>
      <w:pPr>
        <w:pStyle w:val="Normal"/>
        <w:spacing w:lineRule="auto" w:line="240" w:before="0" w:after="0"/>
        <w:ind w:left="705" w:right="0" w:hanging="0"/>
        <w:rPr>
          <w:rFonts w:cs="Calibri"/>
        </w:rPr>
      </w:pPr>
      <w:r>
        <w:rPr>
          <w:rFonts w:cs="Calibri"/>
        </w:rPr>
        <w:t xml:space="preserve">Paul Marcu- Director General </w:t>
      </w:r>
    </w:p>
    <w:p>
      <w:pPr>
        <w:pStyle w:val="Normal"/>
        <w:spacing w:lineRule="auto" w:line="240" w:before="0" w:after="0"/>
        <w:ind w:left="705" w:right="0" w:hanging="0"/>
        <w:rPr>
          <w:rFonts w:cs="Calibri"/>
        </w:rPr>
      </w:pPr>
      <w:r>
        <w:rPr>
          <w:rFonts w:cs="Calibri"/>
        </w:rPr>
        <w:t xml:space="preserve">Buda Lucreţia – Director Economic </w:t>
      </w:r>
    </w:p>
    <w:p>
      <w:pPr>
        <w:pStyle w:val="Normal"/>
        <w:spacing w:lineRule="auto" w:line="240" w:before="0" w:after="0"/>
        <w:ind w:left="705" w:right="0" w:hanging="0"/>
        <w:rPr>
          <w:rFonts w:cs="Calibri"/>
        </w:rPr>
      </w:pPr>
      <w:r>
        <w:rPr>
          <w:rFonts w:cs="Calibri"/>
        </w:rPr>
        <w:t xml:space="preserve">Badea Neculai – Şef serv. Monitorizare </w:t>
      </w:r>
    </w:p>
    <w:p>
      <w:pPr>
        <w:pStyle w:val="Normal"/>
        <w:spacing w:lineRule="auto" w:line="240" w:before="0" w:after="0"/>
        <w:ind w:left="705" w:right="0" w:hanging="0"/>
        <w:rPr>
          <w:rFonts w:cs="Calibri"/>
        </w:rPr>
      </w:pPr>
      <w:r>
        <w:rPr>
          <w:rFonts w:cs="Calibri"/>
        </w:rPr>
        <w:t>Vasile Cristina – Şef Serviciu Tehnic Adm. Achiziţii Publice</w:t>
      </w:r>
    </w:p>
    <w:p>
      <w:pPr>
        <w:pStyle w:val="Normal"/>
        <w:spacing w:lineRule="auto" w:line="240" w:before="0" w:after="0"/>
        <w:ind w:left="705" w:right="0" w:hanging="0"/>
        <w:rPr>
          <w:rFonts w:cs="Calibri"/>
        </w:rPr>
      </w:pPr>
      <w:r>
        <w:rPr>
          <w:rFonts w:cs="Calibri"/>
        </w:rPr>
        <w:t>Grecu Ileana – Şef Serv. Juridic</w:t>
      </w:r>
    </w:p>
    <w:p>
      <w:pPr>
        <w:pStyle w:val="Normal"/>
        <w:spacing w:lineRule="auto" w:line="240" w:before="0" w:after="0"/>
        <w:ind w:left="705" w:right="0" w:hanging="0"/>
        <w:rPr>
          <w:rFonts w:cs="Calibri"/>
        </w:rPr>
      </w:pPr>
      <w:r>
        <w:rPr>
          <w:rFonts w:cs="Calibri"/>
        </w:rPr>
        <w:t>Romaniuc Raluca - Şef Serv. Evaluare Complexă a Copilului</w:t>
      </w:r>
    </w:p>
    <w:p>
      <w:pPr>
        <w:pStyle w:val="Normal"/>
        <w:spacing w:lineRule="auto" w:line="240" w:before="0" w:after="0"/>
        <w:ind w:left="705" w:right="0" w:hanging="0"/>
        <w:rPr>
          <w:rFonts w:cs="Calibri"/>
        </w:rPr>
      </w:pPr>
      <w:r>
        <w:rPr>
          <w:rFonts w:cs="Calibri"/>
        </w:rPr>
        <w:t>În cazul existenţei unei asocieri, documentele care privesc situaţia personală a operatorului economic participant la procedura, vor fi depuse şi de către ofertantul asociat.</w:t>
      </w:r>
    </w:p>
    <w:p>
      <w:pPr>
        <w:pStyle w:val="Normal"/>
        <w:spacing w:lineRule="auto" w:line="240" w:before="0" w:after="0"/>
        <w:ind w:left="705" w:right="0" w:hanging="0"/>
        <w:rPr>
          <w:rFonts w:cs="Calibri"/>
        </w:rPr>
      </w:pPr>
      <w:r>
        <w:rPr>
          <w:rFonts w:cs="Calibri"/>
        </w:rPr>
      </w:r>
    </w:p>
    <w:p>
      <w:pPr>
        <w:pStyle w:val="Normal"/>
        <w:spacing w:lineRule="auto" w:line="240" w:before="0" w:after="0"/>
        <w:ind w:left="705" w:right="0" w:hanging="0"/>
        <w:rPr>
          <w:rFonts w:cs="Calibri"/>
        </w:rPr>
      </w:pPr>
      <w:r>
        <w:rPr>
          <w:rFonts w:cs="Calibri"/>
        </w:rPr>
        <w:t xml:space="preserve">Garanţie de bună execuţie în cuantum de 5% din preţul contractului fără T.V.A., constituita </w:t>
      </w:r>
    </w:p>
    <w:p>
      <w:pPr>
        <w:pStyle w:val="Normal"/>
        <w:spacing w:lineRule="auto" w:line="240" w:before="0" w:after="0"/>
        <w:ind w:left="705" w:right="0" w:hanging="0"/>
        <w:rPr>
          <w:rFonts w:cs="Calibri"/>
        </w:rPr>
      </w:pPr>
      <w:r>
        <w:rPr>
          <w:rFonts w:cs="Calibri"/>
        </w:rPr>
        <w:t>prin scrisoare de garanţie bancară, după încheierea contractului de achiziţie publică.</w:t>
      </w:r>
    </w:p>
    <w:p>
      <w:pPr>
        <w:pStyle w:val="Normal"/>
        <w:spacing w:lineRule="auto" w:line="240" w:before="0" w:after="0"/>
        <w:ind w:left="705" w:right="0" w:hanging="0"/>
        <w:rPr>
          <w:rFonts w:cs="Calibri"/>
        </w:rPr>
      </w:pPr>
      <w:r>
        <w:rPr>
          <w:rFonts w:cs="Calibri"/>
        </w:rPr>
      </w:r>
    </w:p>
    <w:p>
      <w:pPr>
        <w:pStyle w:val="Normal"/>
        <w:spacing w:lineRule="auto" w:line="240" w:before="0" w:after="0"/>
        <w:rPr>
          <w:rFonts w:cs="Calibri"/>
          <w:b/>
          <w:bCs/>
        </w:rPr>
      </w:pPr>
      <w:r>
        <w:rPr>
          <w:rFonts w:cs="Calibri"/>
          <w:b/>
          <w:bCs/>
        </w:rPr>
        <w:t>Capacitatea de exercitare a activităţii profesionale</w:t>
      </w:r>
    </w:p>
    <w:p>
      <w:pPr>
        <w:pStyle w:val="Normal"/>
        <w:spacing w:lineRule="auto" w:line="240" w:before="0" w:after="0"/>
        <w:ind w:left="0" w:right="0" w:firstLine="705"/>
        <w:jc w:val="both"/>
        <w:rPr>
          <w:rFonts w:cs="Calibri"/>
        </w:rPr>
      </w:pPr>
      <w:r>
        <w:rPr>
          <w:rFonts w:cs="Calibri"/>
        </w:rPr>
        <w:t>Pentru lotul 1 cursuri de formare profesională: autorizaţie de furnizor de formare profesională/decizie privind autorizarea pentru cel puţin 3 din meseriile/ocupaţiile ofertate. Documentele se depun în copie lizibila cu menţiunea „conform cu originalul”.</w:t>
      </w:r>
    </w:p>
    <w:p>
      <w:pPr>
        <w:pStyle w:val="Normal"/>
        <w:spacing w:lineRule="auto" w:line="240" w:before="0" w:after="0"/>
        <w:ind w:left="0" w:right="0" w:firstLine="705"/>
        <w:rPr>
          <w:rFonts w:cs="Calibri"/>
        </w:rPr>
      </w:pPr>
      <w:r>
        <w:rPr>
          <w:rFonts w:cs="Calibri"/>
        </w:rPr>
        <w:t>Pentru lotul 2 pachete de transport şi masa pentru cursanţi:</w:t>
      </w:r>
    </w:p>
    <w:p>
      <w:pPr>
        <w:pStyle w:val="Normal"/>
        <w:spacing w:lineRule="auto" w:line="240" w:before="0" w:after="0"/>
        <w:rPr>
          <w:rFonts w:cs="Calibri"/>
        </w:rPr>
      </w:pPr>
      <w:r>
        <w:rPr>
          <w:rFonts w:cs="Calibri"/>
        </w:rPr>
        <w:t>- licenţa pentru transportul rutier public de persoane emisă de Autoritatea Rutieră Romană (copie lizibila cu menţiunea „conform cu originalul”), conform Ordonanţei nr. 27/2011 privind transporturile rutiere, depusă de către ofertant/ofertantul asociat;</w:t>
      </w:r>
    </w:p>
    <w:p>
      <w:pPr>
        <w:pStyle w:val="Normal"/>
        <w:spacing w:lineRule="auto" w:line="240" w:before="0" w:after="0"/>
        <w:rPr>
          <w:rFonts w:cs="Calibri"/>
        </w:rPr>
      </w:pPr>
      <w:r>
        <w:rPr>
          <w:rFonts w:cs="Calibri"/>
        </w:rPr>
        <w:t>- autorizaţie sanitară de funcţionare emisă de Direcţia de Sănătate Publică (copie lizibila cu menţiunea „conform cu originalul”) conform Ordinului nr. 1030 din 2009 privind aprobarea procedurilor de reglementare sanitară pentru proiectele de amplasare, amenajare, construire</w:t>
      </w:r>
    </w:p>
    <w:p>
      <w:pPr>
        <w:pStyle w:val="Normal"/>
        <w:spacing w:lineRule="auto" w:line="240" w:before="0" w:after="0"/>
        <w:rPr>
          <w:rFonts w:cs="Calibri"/>
        </w:rPr>
      </w:pPr>
      <w:r>
        <w:rPr>
          <w:rFonts w:cs="Calibri"/>
        </w:rPr>
        <w:t>şi pentru funcţionarea obiectivelor ce desfăşoară activităţi cu risc pentru starea de sănătate a populaţiei depusă de către ofertant/ofertantul asociat;</w:t>
      </w:r>
    </w:p>
    <w:p>
      <w:pPr>
        <w:pStyle w:val="Normal"/>
        <w:spacing w:lineRule="auto" w:line="240" w:before="0" w:after="0"/>
        <w:rPr>
          <w:rFonts w:cs="Calibri"/>
        </w:rPr>
      </w:pPr>
      <w:r>
        <w:rPr>
          <w:rFonts w:cs="Calibri"/>
        </w:rPr>
        <w:t>- autorizaţie sanitar-veterinara eliberată de Autoritatea Naţională Sanitara Veterinară şi pentru Siguranţa Alimentelor conform Ordinului nr.57 din 2010 pentru aprobarea Normei sanitare veterinare privind procedura de autorizare sanitară veterinară a unităţilor care produc, procesează, depozitează, transporta şi/sau distribuie produse de origine animal, depusă de către ofertant/ofertantul asociat;</w:t>
      </w:r>
    </w:p>
    <w:p>
      <w:pPr>
        <w:pStyle w:val="Normal"/>
        <w:spacing w:lineRule="auto" w:line="240" w:before="0" w:after="0"/>
        <w:ind w:left="0" w:right="0" w:firstLine="705"/>
        <w:rPr>
          <w:rFonts w:cs="Calibri"/>
        </w:rPr>
      </w:pPr>
      <w:r>
        <w:rPr>
          <w:rFonts w:cs="Calibri"/>
        </w:rPr>
        <w:t xml:space="preserve">În cazul unei asocieri de ofertanţi în vederea participării la procedura de atribuire a contractului de achiziţie publică, se solicita acord de asociere. </w:t>
      </w:r>
    </w:p>
    <w:p>
      <w:pPr>
        <w:pStyle w:val="Normal"/>
        <w:spacing w:lineRule="auto" w:line="240" w:before="0" w:after="0"/>
        <w:rPr>
          <w:rFonts w:cs="Calibri"/>
        </w:rPr>
      </w:pPr>
      <w:r>
        <w:rPr>
          <w:rFonts w:cs="Calibri"/>
        </w:rPr>
      </w:r>
    </w:p>
    <w:p>
      <w:pPr>
        <w:pStyle w:val="Normal"/>
        <w:spacing w:lineRule="auto" w:line="240" w:before="0" w:after="0"/>
        <w:rPr>
          <w:rFonts w:cs="Calibri"/>
          <w:b/>
          <w:bCs/>
        </w:rPr>
      </w:pPr>
      <w:r>
        <w:rPr>
          <w:rFonts w:cs="Calibri"/>
          <w:b/>
          <w:bCs/>
        </w:rPr>
        <w:t xml:space="preserve"> </w:t>
      </w:r>
      <w:r>
        <w:rPr>
          <w:rFonts w:cs="Calibri"/>
          <w:b/>
          <w:bCs/>
        </w:rPr>
        <w:t>Capacitatea tehnică şi/sau profesională</w:t>
      </w:r>
    </w:p>
    <w:p>
      <w:pPr>
        <w:pStyle w:val="Normal"/>
        <w:spacing w:lineRule="auto" w:line="240" w:before="0" w:after="0"/>
        <w:ind w:left="0" w:right="0" w:firstLine="705"/>
        <w:rPr>
          <w:rFonts w:cs="Calibri"/>
        </w:rPr>
      </w:pPr>
      <w:r>
        <w:rPr>
          <w:rFonts w:cs="Calibri"/>
        </w:rPr>
        <w:t>Prezentarea cel puţin a unui document /contract/proces verbal de recepţie prin care să confirme prestarea de servicii a căror valoare să fie cel puţin egală cu valoarea estimată a lotului/loturilor pentru care depune oferta.</w:t>
      </w:r>
    </w:p>
    <w:p>
      <w:pPr>
        <w:pStyle w:val="Normal"/>
        <w:spacing w:lineRule="auto" w:line="240" w:before="0" w:after="0"/>
        <w:rPr>
          <w:rFonts w:cs="Calibri"/>
          <w:b/>
          <w:bCs/>
        </w:rPr>
      </w:pPr>
      <w:r>
        <w:rPr>
          <w:rFonts w:cs="Calibri"/>
          <w:b/>
          <w:bCs/>
        </w:rPr>
      </w:r>
    </w:p>
    <w:p>
      <w:pPr>
        <w:pStyle w:val="Normal"/>
        <w:spacing w:lineRule="auto" w:line="240" w:before="0" w:after="0"/>
        <w:rPr>
          <w:rFonts w:cs="Calibri"/>
          <w:b/>
          <w:bCs/>
        </w:rPr>
      </w:pPr>
      <w:r>
        <w:rPr>
          <w:rFonts w:cs="Calibri"/>
          <w:b/>
          <w:bCs/>
        </w:rPr>
        <w:t xml:space="preserve"> </w:t>
      </w:r>
      <w:r>
        <w:rPr>
          <w:rFonts w:cs="Calibri"/>
          <w:b/>
          <w:bCs/>
        </w:rPr>
        <w:t>IV. PROCEDURA</w:t>
      </w:r>
    </w:p>
    <w:p>
      <w:pPr>
        <w:pStyle w:val="Normal"/>
        <w:spacing w:lineRule="auto" w:line="240" w:before="0" w:after="0"/>
        <w:rPr>
          <w:rFonts w:cs="Calibri"/>
        </w:rPr>
      </w:pPr>
      <w:r>
        <w:rPr>
          <w:rFonts w:cs="Calibri"/>
        </w:rPr>
        <w:t>Tipul procedurii: procedură internă privind achizițiile publice de servicii incluse în anexa 2B</w:t>
      </w:r>
    </w:p>
    <w:p>
      <w:pPr>
        <w:pStyle w:val="Normal"/>
        <w:spacing w:lineRule="auto" w:line="240" w:before="0" w:after="0"/>
        <w:rPr>
          <w:rFonts w:cs="Calibri"/>
        </w:rPr>
      </w:pPr>
      <w:r>
        <w:rPr>
          <w:rFonts w:cs="Calibri"/>
        </w:rPr>
        <w:t>Criteriu de atribuire: preţul cel mai scăzut</w:t>
      </w:r>
    </w:p>
    <w:p>
      <w:pPr>
        <w:pStyle w:val="Normal"/>
        <w:spacing w:lineRule="auto" w:line="240" w:before="0" w:after="0"/>
        <w:rPr>
          <w:rFonts w:cs="Calibri"/>
        </w:rPr>
      </w:pPr>
      <w:r>
        <w:rPr>
          <w:rFonts w:cs="Calibri"/>
        </w:rPr>
        <w:t>Perioada minimă pe parcursul căreia ofertantul trebuie să îşi menţină oferta (de la termenul limită de primire a ofertelor): 90 zile</w:t>
      </w:r>
    </w:p>
    <w:p>
      <w:pPr>
        <w:pStyle w:val="Normal"/>
        <w:spacing w:lineRule="auto" w:line="240" w:before="0" w:after="0"/>
        <w:rPr>
          <w:rFonts w:cs="Calibri"/>
        </w:rPr>
      </w:pPr>
      <w:r>
        <w:rPr>
          <w:rFonts w:cs="Calibri"/>
        </w:rPr>
      </w:r>
    </w:p>
    <w:p>
      <w:pPr>
        <w:pStyle w:val="Normal"/>
        <w:spacing w:lineRule="auto" w:line="240" w:before="0" w:after="0"/>
        <w:rPr>
          <w:rFonts w:cs="Calibri"/>
          <w:b/>
          <w:bCs/>
        </w:rPr>
      </w:pPr>
      <w:r>
        <w:rPr>
          <w:rFonts w:cs="Calibri"/>
          <w:b/>
          <w:bCs/>
        </w:rPr>
        <w:t>Prezentarea ofertei</w:t>
      </w:r>
    </w:p>
    <w:p>
      <w:pPr>
        <w:pStyle w:val="Normal"/>
        <w:spacing w:lineRule="auto" w:line="240" w:before="0" w:after="0"/>
        <w:rPr>
          <w:rFonts w:cs="Calibri"/>
          <w:b/>
          <w:bCs/>
        </w:rPr>
      </w:pPr>
      <w:r>
        <w:rPr>
          <w:rFonts w:cs="Calibri"/>
          <w:b/>
          <w:bCs/>
        </w:rPr>
        <w:t>Modul de prezentare a propunerii tehnice</w:t>
      </w:r>
    </w:p>
    <w:p>
      <w:pPr>
        <w:pStyle w:val="Normal"/>
        <w:spacing w:lineRule="auto" w:line="240" w:before="0" w:after="0"/>
        <w:ind w:left="0" w:right="0" w:firstLine="705"/>
        <w:rPr>
          <w:rFonts w:cs="Calibri"/>
        </w:rPr>
      </w:pPr>
      <w:r>
        <w:rPr>
          <w:rFonts w:cs="Calibri"/>
        </w:rPr>
        <w:t xml:space="preserve">Ofertantul va prezenta propunerea tehnică utilizând formularul de propunere tehnică pentru serviciile de formare profesională şi/sau formularul de propunere tehnică pentru transport şi masa cursanţi, după caz, astfel încât aceasta să respecte în totalitate cerinţele prevăzute în caietul de sarcini şi să cuprindă toate serviciile solicitate în cadrul lotului/loturilor pentru care se depune oferta. </w:t>
      </w:r>
    </w:p>
    <w:p>
      <w:pPr>
        <w:pStyle w:val="Normal"/>
        <w:spacing w:lineRule="auto" w:line="240" w:before="0" w:after="0"/>
        <w:ind w:left="0" w:right="0" w:firstLine="705"/>
        <w:rPr>
          <w:rFonts w:cs="Calibri"/>
        </w:rPr>
      </w:pPr>
      <w:r>
        <w:rPr>
          <w:rFonts w:cs="Calibri"/>
        </w:rPr>
        <w:t>Propunerea tehnică va fi semnată şi ştampilată pe fiecare pagină şi va fi însoţită, în cazul lotului 1 servicii de formare profesională, de:</w:t>
      </w:r>
    </w:p>
    <w:p>
      <w:pPr>
        <w:pStyle w:val="Normal"/>
        <w:numPr>
          <w:ilvl w:val="0"/>
          <w:numId w:val="21"/>
        </w:numPr>
        <w:spacing w:lineRule="auto" w:line="240" w:before="0" w:after="0"/>
        <w:rPr>
          <w:rFonts w:cs="Calibri"/>
        </w:rPr>
      </w:pPr>
      <w:r>
        <w:rPr>
          <w:rFonts w:cs="Calibri"/>
        </w:rPr>
        <w:t>lista formatorilor care vor participa la desfăşurarea programului de formare profesională şi care vor asigura pregătirea teoretică şi instruirea practica, pe discipline şi număr ore de efectuat, pentru meseria solicitată;</w:t>
      </w:r>
    </w:p>
    <w:p>
      <w:pPr>
        <w:pStyle w:val="Normal"/>
        <w:numPr>
          <w:ilvl w:val="0"/>
          <w:numId w:val="21"/>
        </w:numPr>
        <w:spacing w:lineRule="auto" w:line="240" w:before="0" w:after="0"/>
        <w:rPr>
          <w:rFonts w:cs="Calibri"/>
        </w:rPr>
      </w:pPr>
      <w:r>
        <w:rPr>
          <w:rFonts w:cs="Calibri"/>
        </w:rPr>
        <w:t xml:space="preserve">CV-ul fiecărui formator, în care să se detalieze experienţa în specialitatea corespunzătoare programului de formare ; </w:t>
      </w:r>
    </w:p>
    <w:p>
      <w:pPr>
        <w:pStyle w:val="Normal"/>
        <w:numPr>
          <w:ilvl w:val="0"/>
          <w:numId w:val="21"/>
        </w:numPr>
        <w:spacing w:lineRule="auto" w:line="240" w:before="0" w:after="0"/>
        <w:rPr>
          <w:rFonts w:cs="Calibri"/>
        </w:rPr>
      </w:pPr>
      <w:r>
        <w:rPr>
          <w:rFonts w:cs="Calibri"/>
        </w:rPr>
        <w:t>acordul scris al fiecărui formator pentru participarea la programul de formare profesională în meseria solicitată;</w:t>
      </w:r>
    </w:p>
    <w:p>
      <w:pPr>
        <w:pStyle w:val="Normal"/>
        <w:numPr>
          <w:ilvl w:val="0"/>
          <w:numId w:val="21"/>
        </w:numPr>
        <w:spacing w:lineRule="auto" w:line="240" w:before="0" w:after="0"/>
        <w:rPr>
          <w:rFonts w:cs="Calibri"/>
        </w:rPr>
      </w:pPr>
      <w:r>
        <w:rPr>
          <w:rFonts w:cs="Calibri"/>
        </w:rPr>
        <w:t>diplomele şi certificate ale formatorilor din care să reiasă că deţin specializările cerute de programul de formare (copii) ;</w:t>
      </w:r>
    </w:p>
    <w:p>
      <w:pPr>
        <w:pStyle w:val="Normal"/>
        <w:numPr>
          <w:ilvl w:val="0"/>
          <w:numId w:val="21"/>
        </w:numPr>
        <w:spacing w:lineRule="auto" w:line="240" w:before="0" w:after="0"/>
        <w:rPr>
          <w:rFonts w:cs="Calibri"/>
        </w:rPr>
      </w:pPr>
      <w:r>
        <w:rPr>
          <w:rFonts w:cs="Calibri"/>
        </w:rPr>
        <w:t>actele de identitate ale formatorilor (copii);</w:t>
      </w:r>
    </w:p>
    <w:p>
      <w:pPr>
        <w:pStyle w:val="Normal"/>
        <w:numPr>
          <w:ilvl w:val="0"/>
          <w:numId w:val="21"/>
        </w:numPr>
        <w:spacing w:lineRule="auto" w:line="240" w:before="0" w:after="0"/>
        <w:rPr>
          <w:rFonts w:cs="Calibri"/>
        </w:rPr>
      </w:pPr>
      <w:r>
        <w:rPr>
          <w:rFonts w:cs="Calibri"/>
        </w:rPr>
        <w:t xml:space="preserve">planul şi programă de pregătire aprobate de Comisia de Autorizare pentru meseria solicitată; </w:t>
      </w:r>
    </w:p>
    <w:p>
      <w:pPr>
        <w:pStyle w:val="Normal"/>
        <w:numPr>
          <w:ilvl w:val="0"/>
          <w:numId w:val="21"/>
        </w:numPr>
        <w:spacing w:lineRule="auto" w:line="240" w:before="0" w:after="0"/>
        <w:rPr>
          <w:rFonts w:cs="Calibri"/>
        </w:rPr>
      </w:pPr>
      <w:r>
        <w:rPr>
          <w:rFonts w:cs="Calibri"/>
        </w:rPr>
        <w:t>contracte/parteneriate cu agenţii economici care asigura desfăşurarea instruirii practice, acestea cuprinzând următoarele menţiuni:</w:t>
      </w:r>
    </w:p>
    <w:p>
      <w:pPr>
        <w:pStyle w:val="Normal"/>
        <w:numPr>
          <w:ilvl w:val="0"/>
          <w:numId w:val="1"/>
        </w:numPr>
        <w:spacing w:lineRule="auto" w:line="240" w:before="0" w:after="0"/>
        <w:rPr>
          <w:rFonts w:cs="Calibri"/>
        </w:rPr>
      </w:pPr>
      <w:r>
        <w:rPr>
          <w:rFonts w:cs="Calibri"/>
        </w:rPr>
        <w:t>adresele complete ale părţilor;</w:t>
      </w:r>
    </w:p>
    <w:p>
      <w:pPr>
        <w:pStyle w:val="Normal"/>
        <w:numPr>
          <w:ilvl w:val="0"/>
          <w:numId w:val="1"/>
        </w:numPr>
        <w:spacing w:lineRule="auto" w:line="240" w:before="0" w:after="0"/>
        <w:rPr>
          <w:rFonts w:cs="Calibri"/>
        </w:rPr>
      </w:pPr>
      <w:r>
        <w:rPr>
          <w:rFonts w:cs="Calibri"/>
        </w:rPr>
        <w:t>existenta autorizaţiilor de funcţionare;</w:t>
      </w:r>
    </w:p>
    <w:p>
      <w:pPr>
        <w:pStyle w:val="Normal"/>
        <w:numPr>
          <w:ilvl w:val="0"/>
          <w:numId w:val="1"/>
        </w:numPr>
        <w:spacing w:lineRule="auto" w:line="240" w:before="0" w:after="0"/>
        <w:rPr>
          <w:rFonts w:cs="Calibri"/>
        </w:rPr>
      </w:pPr>
      <w:r>
        <w:rPr>
          <w:rFonts w:cs="Calibri"/>
        </w:rPr>
        <w:t xml:space="preserve">termenul limită de valabilitate al contractului / parteneriatului. </w:t>
      </w:r>
    </w:p>
    <w:p>
      <w:pPr>
        <w:pStyle w:val="Normal"/>
        <w:spacing w:lineRule="auto" w:line="240" w:before="0" w:after="0"/>
        <w:ind w:left="0" w:right="0" w:firstLine="705"/>
        <w:rPr>
          <w:rFonts w:cs="Calibri"/>
        </w:rPr>
      </w:pPr>
      <w:r>
        <w:rPr>
          <w:rFonts w:cs="Calibri"/>
        </w:rPr>
        <w:t>În cazul în care se constată faptul că anumite elemente ale propunerii tehnice sunt inferioare sau nu corespund cerinţelor prevăzute în caietul de sarcini, oferta este considerată neconforma.</w:t>
      </w:r>
    </w:p>
    <w:p>
      <w:pPr>
        <w:pStyle w:val="Normal"/>
        <w:spacing w:lineRule="auto" w:line="240" w:before="0" w:after="0"/>
        <w:rPr>
          <w:rFonts w:cs="Calibri"/>
        </w:rPr>
      </w:pPr>
      <w:r>
        <w:rPr>
          <w:rFonts w:cs="Calibri"/>
        </w:rPr>
      </w:r>
    </w:p>
    <w:p>
      <w:pPr>
        <w:pStyle w:val="Normal"/>
        <w:spacing w:lineRule="auto" w:line="240" w:before="0" w:after="0"/>
        <w:ind w:left="0" w:right="0" w:firstLine="705"/>
        <w:rPr>
          <w:rFonts w:cs="Calibri"/>
          <w:b/>
          <w:bCs/>
        </w:rPr>
      </w:pPr>
      <w:r>
        <w:rPr>
          <w:rFonts w:cs="Calibri"/>
          <w:b/>
          <w:bCs/>
        </w:rPr>
        <w:t>Modul de prezentare a propunerii financiare</w:t>
      </w:r>
    </w:p>
    <w:p>
      <w:pPr>
        <w:pStyle w:val="Normal"/>
        <w:spacing w:lineRule="auto" w:line="240" w:before="0" w:after="0"/>
        <w:ind w:left="0" w:right="0" w:firstLine="705"/>
        <w:rPr>
          <w:rFonts w:cs="Calibri"/>
        </w:rPr>
      </w:pPr>
      <w:r>
        <w:rPr>
          <w:rFonts w:cs="Calibri"/>
        </w:rPr>
        <w:t>Ofertantul trebuie să prezinte formularul de oferta financiară de servicii de formare profesională şi/sau formularul de oferta financiară de servicii de transport şi masa cursanţi</w:t>
      </w:r>
    </w:p>
    <w:p>
      <w:pPr>
        <w:pStyle w:val="Normal"/>
        <w:spacing w:lineRule="auto" w:line="240" w:before="0" w:after="0"/>
        <w:ind w:left="0" w:right="0" w:firstLine="705"/>
        <w:rPr>
          <w:rFonts w:cs="Calibri"/>
        </w:rPr>
      </w:pPr>
      <w:r>
        <w:rPr>
          <w:rFonts w:cs="Calibri"/>
        </w:rPr>
        <w:t xml:space="preserve">Oferta va cuprinde preţul serviciilor ce fac obiectul lotului/loturilor pentru care se depune oferta, conform cerinţelor formularului. </w:t>
      </w:r>
    </w:p>
    <w:p>
      <w:pPr>
        <w:pStyle w:val="Normal"/>
        <w:spacing w:lineRule="auto" w:line="240" w:before="0" w:after="0"/>
        <w:rPr>
          <w:rFonts w:cs="Calibri"/>
        </w:rPr>
      </w:pPr>
      <w:r>
        <w:rPr>
          <w:rFonts w:cs="Calibri"/>
        </w:rPr>
      </w:r>
    </w:p>
    <w:p>
      <w:pPr>
        <w:pStyle w:val="Normal"/>
        <w:spacing w:lineRule="auto" w:line="240" w:before="0" w:after="0"/>
        <w:ind w:left="0" w:right="0" w:firstLine="705"/>
        <w:rPr>
          <w:rFonts w:cs="Calibri"/>
        </w:rPr>
      </w:pPr>
      <w:r>
        <w:rPr>
          <w:rFonts w:cs="Calibri"/>
        </w:rPr>
        <w:t xml:space="preserve">Oferta se va depune/transmite pe adresa autorităţii contractante : Direcţia Generală de  Asistenţă Socială şi Protecţia Copilului Ialomiţa, str.C. D. Gherea, nr.1, Slobozia, judeţul Ialomiţa, cod poştal: 920033. </w:t>
      </w:r>
    </w:p>
    <w:p>
      <w:pPr>
        <w:pStyle w:val="Normal"/>
        <w:spacing w:lineRule="auto" w:line="240" w:before="0" w:after="0"/>
        <w:ind w:left="0" w:right="0" w:firstLine="705"/>
        <w:rPr>
          <w:rFonts w:cs="Calibri"/>
        </w:rPr>
      </w:pPr>
      <w:r>
        <w:rPr>
          <w:rFonts w:cs="Calibri"/>
        </w:rPr>
        <w:t xml:space="preserve">Oferta se va introduce într-un plic exterior, sigilat corespunzător şi netransparent pe care se notează adresa autorităţii contractante şi "A nu  se deschide înainte de </w:t>
      </w:r>
      <w:r>
        <w:rPr>
          <w:rFonts w:cs="Calibri"/>
          <w:b/>
          <w:bCs/>
        </w:rPr>
        <w:t>7 octombrie 2014, ora 12</w:t>
      </w:r>
      <w:r>
        <w:rPr>
          <w:rFonts w:cs="Calibri"/>
        </w:rPr>
        <w:t xml:space="preserve">". </w:t>
      </w:r>
    </w:p>
    <w:p>
      <w:pPr>
        <w:pStyle w:val="Normal"/>
        <w:spacing w:lineRule="auto" w:line="240" w:before="0" w:after="0"/>
        <w:ind w:left="0" w:right="0" w:firstLine="705"/>
        <w:rPr>
          <w:rFonts w:cs="Calibri"/>
        </w:rPr>
      </w:pPr>
      <w:r>
        <w:rPr>
          <w:rFonts w:cs="Calibri"/>
        </w:rPr>
        <w:t>Ofertantul nu are dreptul, în cadrul acestei proceduri:</w:t>
      </w:r>
    </w:p>
    <w:p>
      <w:pPr>
        <w:pStyle w:val="Normal"/>
        <w:numPr>
          <w:ilvl w:val="0"/>
          <w:numId w:val="17"/>
        </w:numPr>
        <w:spacing w:lineRule="auto" w:line="240" w:before="0" w:after="0"/>
        <w:rPr>
          <w:rFonts w:cs="Calibri"/>
        </w:rPr>
      </w:pPr>
      <w:r>
        <w:rPr>
          <w:rFonts w:cs="Calibri"/>
        </w:rPr>
        <w:t>să depună doua sau mai multe candidaturi /oferte individuale şi/sau comune, sub  sancţiunea excluderii din competiţie a tuturor candidaturilor / ofertelor în cauză;</w:t>
      </w:r>
    </w:p>
    <w:p>
      <w:pPr>
        <w:pStyle w:val="Normal"/>
        <w:numPr>
          <w:ilvl w:val="0"/>
          <w:numId w:val="17"/>
        </w:numPr>
        <w:spacing w:lineRule="auto" w:line="240" w:before="0" w:after="0"/>
        <w:rPr>
          <w:rFonts w:cs="Calibri"/>
        </w:rPr>
      </w:pPr>
      <w:r>
        <w:rPr>
          <w:rFonts w:cs="Calibri"/>
        </w:rPr>
        <w:t>să depună oferta individuală/ comună şi să fie nominalizat ca subcontractant în cadrul unei alte oferte, sub sancţiunea excluderii ofertei individuale sau, după caz, a celei în care este ofertant asociat;</w:t>
      </w:r>
    </w:p>
    <w:p>
      <w:pPr>
        <w:pStyle w:val="Normal"/>
        <w:numPr>
          <w:ilvl w:val="0"/>
          <w:numId w:val="17"/>
        </w:numPr>
        <w:spacing w:lineRule="auto" w:line="240" w:before="0" w:after="0"/>
        <w:rPr>
          <w:rFonts w:cs="Calibri"/>
        </w:rPr>
      </w:pPr>
      <w:r>
        <w:rPr>
          <w:rFonts w:cs="Calibri"/>
        </w:rPr>
        <w:t>să depună oferta individuală/comună şi să fie nominalizat ca terţ susţinător în cadrul unei alte oferte, sub sancţiunea excluderii ofertei individuale sau, după caz, a celei în care este ofertant asociat.</w:t>
      </w:r>
    </w:p>
    <w:p>
      <w:pPr>
        <w:pStyle w:val="Normal"/>
        <w:spacing w:lineRule="auto" w:line="240" w:before="0" w:after="0"/>
        <w:rPr>
          <w:rFonts w:cs="Calibri"/>
        </w:rPr>
      </w:pPr>
      <w:r>
        <w:rPr>
          <w:rFonts w:cs="Calibri"/>
        </w:rPr>
        <w:t xml:space="preserve">Notă: Un ofertant poate participa la procedura de achiziţie publica cu o singură ofertă, fie în mod individual sau ca partener (asociat) al unui consorţiu/asociere/societate mixtă. În caz contrar, ofertele respective vor fi respinse. </w:t>
      </w:r>
    </w:p>
    <w:p>
      <w:pPr>
        <w:pStyle w:val="Normal"/>
        <w:spacing w:lineRule="auto" w:line="240" w:before="0" w:after="0"/>
        <w:rPr>
          <w:rFonts w:cs="Calibri"/>
        </w:rPr>
      </w:pPr>
      <w:r>
        <w:rPr>
          <w:rFonts w:cs="Calibri"/>
        </w:rPr>
      </w:r>
    </w:p>
    <w:p>
      <w:pPr>
        <w:pStyle w:val="Normal"/>
        <w:spacing w:lineRule="auto" w:line="240" w:before="0" w:after="0"/>
        <w:rPr>
          <w:rFonts w:cs="Calibri"/>
          <w:b/>
          <w:bCs/>
        </w:rPr>
      </w:pPr>
      <w:r>
        <w:rPr>
          <w:rFonts w:cs="Calibri"/>
          <w:b/>
          <w:bCs/>
        </w:rPr>
        <w:t>Căi de atac</w:t>
      </w:r>
    </w:p>
    <w:p>
      <w:pPr>
        <w:pStyle w:val="Normal"/>
        <w:spacing w:lineRule="auto" w:line="240" w:before="0" w:after="0"/>
        <w:rPr>
          <w:rFonts w:cs="Calibri"/>
        </w:rPr>
      </w:pPr>
      <w:r>
        <w:rPr>
          <w:rFonts w:cs="Calibri"/>
        </w:rPr>
        <w:t>Organismul competent pentru căile de atac: Consiliul Naţional de Soluţionare a Contestaţiilor.</w:t>
      </w:r>
    </w:p>
    <w:p>
      <w:pPr>
        <w:pStyle w:val="Normal"/>
        <w:spacing w:lineRule="auto" w:line="240" w:before="0" w:after="0"/>
        <w:rPr>
          <w:rFonts w:cs="Calibri"/>
          <w:b/>
          <w:bCs/>
          <w:sz w:val="24"/>
          <w:szCs w:val="24"/>
        </w:rPr>
      </w:pPr>
      <w:r>
        <w:rPr>
          <w:rFonts w:cs="Calibri"/>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right"/>
        <w:rPr>
          <w:rFonts w:cs="Calibri" w:ascii="Times New Roman" w:hAnsi="Times New Roman"/>
          <w:b/>
          <w:bCs/>
          <w:sz w:val="24"/>
          <w:szCs w:val="24"/>
        </w:rPr>
      </w:pPr>
      <w:r>
        <w:rPr>
          <w:rFonts w:cs="Calibri" w:ascii="Times New Roman" w:hAnsi="Times New Roman"/>
          <w:b/>
          <w:bCs/>
          <w:sz w:val="24"/>
          <w:szCs w:val="24"/>
        </w:rPr>
      </w:r>
    </w:p>
    <w:p>
      <w:pPr>
        <w:pStyle w:val="Normal"/>
        <w:tabs>
          <w:tab w:val="center" w:pos="4530" w:leader="none"/>
          <w:tab w:val="right" w:pos="9075" w:leader="none"/>
        </w:tabs>
        <w:spacing w:lineRule="auto" w:line="240" w:before="0" w:after="0"/>
        <w:ind w:left="0" w:right="-90" w:hanging="0"/>
        <w:jc w:val="center"/>
        <w:rPr>
          <w:rFonts w:cs="Calibri" w:ascii="Times New Roman" w:hAnsi="Times New Roman"/>
          <w:b/>
          <w:bCs/>
          <w:sz w:val="24"/>
          <w:szCs w:val="24"/>
        </w:rPr>
      </w:pPr>
      <w:r>
        <w:rPr>
          <w:rFonts w:cs="Calibri" w:ascii="Times New Roman" w:hAnsi="Times New Roman"/>
          <w:b/>
          <w:bCs/>
          <w:sz w:val="24"/>
          <w:szCs w:val="24"/>
        </w:rPr>
        <w:t>SECȚIUNEA II</w:t>
      </w:r>
    </w:p>
    <w:p>
      <w:pPr>
        <w:pStyle w:val="Normal"/>
        <w:tabs>
          <w:tab w:val="center" w:pos="4530" w:leader="none"/>
          <w:tab w:val="right" w:pos="9075" w:leader="none"/>
        </w:tabs>
        <w:spacing w:lineRule="auto" w:line="240" w:before="0" w:after="0"/>
        <w:ind w:left="0" w:right="-90" w:hanging="0"/>
        <w:jc w:val="center"/>
        <w:rPr>
          <w:rFonts w:cs="Calibri" w:ascii="Times New Roman" w:hAnsi="Times New Roman"/>
          <w:b/>
          <w:bCs/>
          <w:sz w:val="24"/>
          <w:szCs w:val="24"/>
        </w:rPr>
      </w:pPr>
      <w:r>
        <w:rPr>
          <w:rFonts w:cs="Calibri" w:ascii="Times New Roman" w:hAnsi="Times New Roman"/>
          <w:b/>
          <w:bCs/>
          <w:sz w:val="24"/>
          <w:szCs w:val="24"/>
        </w:rPr>
        <w:t>CAIET DE SARCINI</w:t>
      </w:r>
    </w:p>
    <w:p>
      <w:pPr>
        <w:pStyle w:val="Normal"/>
        <w:tabs>
          <w:tab w:val="center" w:pos="4530" w:leader="none"/>
          <w:tab w:val="right" w:pos="9075" w:leader="none"/>
        </w:tabs>
        <w:spacing w:lineRule="auto" w:line="240" w:before="0" w:after="0"/>
        <w:ind w:left="0" w:right="-90" w:hanging="0"/>
        <w:jc w:val="center"/>
        <w:rPr>
          <w:rFonts w:cs="Calibri" w:ascii="Times New Roman" w:hAnsi="Times New Roman"/>
          <w:b/>
          <w:bCs/>
          <w:sz w:val="24"/>
          <w:szCs w:val="24"/>
        </w:rPr>
      </w:pPr>
      <w:r>
        <w:rPr>
          <w:rFonts w:cs="Calibri" w:ascii="Times New Roman" w:hAnsi="Times New Roman"/>
          <w:b/>
          <w:bCs/>
          <w:sz w:val="24"/>
          <w:szCs w:val="24"/>
        </w:rPr>
      </w:r>
    </w:p>
    <w:p>
      <w:pPr>
        <w:pStyle w:val="Normal"/>
        <w:spacing w:before="0" w:after="195"/>
        <w:jc w:val="both"/>
        <w:rPr>
          <w:rFonts w:cs="Calibri" w:ascii="Times New Roman" w:hAnsi="Times New Roman"/>
          <w:sz w:val="24"/>
          <w:szCs w:val="24"/>
        </w:rPr>
      </w:pPr>
      <w:r>
        <w:rPr>
          <w:rFonts w:cs="Calibri" w:ascii="Times New Roman" w:hAnsi="Times New Roman"/>
          <w:sz w:val="24"/>
          <w:szCs w:val="24"/>
        </w:rPr>
        <w:t xml:space="preserve">pentru atribuirea contractului de achiziţie de </w:t>
      </w:r>
      <w:r>
        <w:rPr>
          <w:rFonts w:cs="Calibri" w:ascii="Times New Roman" w:hAnsi="Times New Roman"/>
          <w:b/>
          <w:bCs/>
          <w:sz w:val="24"/>
          <w:szCs w:val="24"/>
        </w:rPr>
        <w:t xml:space="preserve">servicii de formare profesională </w:t>
      </w:r>
      <w:r>
        <w:rPr>
          <w:rFonts w:cs="Calibri" w:ascii="Times New Roman" w:hAnsi="Times New Roman"/>
          <w:sz w:val="24"/>
          <w:szCs w:val="24"/>
        </w:rPr>
        <w:t>şi a contractului de</w:t>
      </w:r>
      <w:r>
        <w:rPr>
          <w:rFonts w:cs="Calibri" w:ascii="Times New Roman" w:hAnsi="Times New Roman"/>
          <w:b/>
          <w:bCs/>
          <w:sz w:val="24"/>
          <w:szCs w:val="24"/>
        </w:rPr>
        <w:t xml:space="preserve"> </w:t>
      </w:r>
      <w:r>
        <w:rPr>
          <w:rFonts w:cs="Calibri" w:ascii="Times New Roman" w:hAnsi="Times New Roman"/>
          <w:sz w:val="24"/>
          <w:szCs w:val="24"/>
        </w:rPr>
        <w:t>achiziţie de</w:t>
      </w:r>
      <w:r>
        <w:rPr>
          <w:rFonts w:cs="Calibri" w:ascii="Times New Roman" w:hAnsi="Times New Roman"/>
          <w:b/>
          <w:bCs/>
          <w:sz w:val="24"/>
          <w:szCs w:val="24"/>
        </w:rPr>
        <w:t xml:space="preserve"> pachete conţinând masa, transport participanţi</w:t>
      </w:r>
      <w:r>
        <w:rPr>
          <w:rFonts w:cs="Calibri" w:ascii="Times New Roman" w:hAnsi="Times New Roman"/>
          <w:sz w:val="24"/>
          <w:szCs w:val="24"/>
        </w:rPr>
        <w:t xml:space="preserve"> în cadrul proiectului „Calificarea meseriașilor tradiționali romi” POSDRU/118/6.2/G/124568</w:t>
      </w:r>
    </w:p>
    <w:p>
      <w:pPr>
        <w:pStyle w:val="Normal"/>
        <w:tabs>
          <w:tab w:val="center" w:pos="4530" w:leader="none"/>
          <w:tab w:val="right" w:pos="9075" w:leader="none"/>
        </w:tabs>
        <w:spacing w:lineRule="auto" w:line="240" w:before="0" w:after="0"/>
        <w:ind w:left="0" w:right="-90" w:hanging="0"/>
        <w:rPr>
          <w:rFonts w:cs="Calibri" w:ascii="Times New Roman" w:hAnsi="Times New Roman"/>
          <w:sz w:val="24"/>
          <w:szCs w:val="24"/>
        </w:rPr>
      </w:pPr>
      <w:r>
        <w:rPr>
          <w:rFonts w:cs="Calibri" w:ascii="Times New Roman" w:hAnsi="Times New Roman"/>
          <w:sz w:val="24"/>
          <w:szCs w:val="24"/>
        </w:rPr>
        <w:t>Cod CPV: 80530000-8 “Servicii de formare profesională”</w:t>
      </w:r>
    </w:p>
    <w:p>
      <w:pPr>
        <w:pStyle w:val="Normal"/>
        <w:tabs>
          <w:tab w:val="center" w:pos="4530" w:leader="none"/>
          <w:tab w:val="right" w:pos="9075" w:leader="none"/>
        </w:tabs>
        <w:spacing w:lineRule="auto" w:line="240" w:before="0" w:after="0"/>
        <w:ind w:left="0" w:right="-90" w:hanging="0"/>
        <w:rPr>
          <w:rFonts w:cs="Calibri" w:ascii="Times New Roman" w:hAnsi="Times New Roman"/>
          <w:sz w:val="24"/>
          <w:szCs w:val="24"/>
        </w:rPr>
      </w:pPr>
      <w:r>
        <w:rPr>
          <w:rFonts w:cs="Calibri" w:ascii="Times New Roman" w:hAnsi="Times New Roman"/>
          <w:sz w:val="24"/>
          <w:szCs w:val="24"/>
        </w:rPr>
        <w:t>Cod CPV: 55520000-1 „Servicii de catering”</w:t>
      </w:r>
    </w:p>
    <w:p>
      <w:pPr>
        <w:pStyle w:val="Normal"/>
        <w:tabs>
          <w:tab w:val="center" w:pos="4530" w:leader="none"/>
          <w:tab w:val="right" w:pos="9075" w:leader="none"/>
        </w:tabs>
        <w:spacing w:lineRule="auto" w:line="240" w:before="0" w:after="0"/>
        <w:ind w:left="0" w:right="-90" w:hanging="0"/>
        <w:rPr>
          <w:rFonts w:cs="Calibri" w:ascii="Times New Roman" w:hAnsi="Times New Roman"/>
          <w:sz w:val="24"/>
          <w:szCs w:val="24"/>
        </w:rPr>
      </w:pPr>
      <w:r>
        <w:rPr>
          <w:rFonts w:cs="Calibri" w:ascii="Times New Roman" w:hAnsi="Times New Roman"/>
          <w:sz w:val="24"/>
          <w:szCs w:val="24"/>
        </w:rPr>
        <w:t>Cod CPV: 60000000-8 „Servicii de transport”</w:t>
      </w:r>
    </w:p>
    <w:p>
      <w:pPr>
        <w:pStyle w:val="Normal"/>
        <w:tabs>
          <w:tab w:val="center" w:pos="4530" w:leader="none"/>
          <w:tab w:val="right" w:pos="9075" w:leader="none"/>
        </w:tabs>
        <w:spacing w:lineRule="auto" w:line="240" w:before="0" w:after="0"/>
        <w:ind w:left="0" w:right="-90" w:hanging="0"/>
        <w:jc w:val="center"/>
        <w:rPr>
          <w:rFonts w:cs="Calibri" w:ascii="Times New Roman" w:hAnsi="Times New Roman"/>
          <w:b/>
          <w:bCs/>
          <w:sz w:val="24"/>
          <w:szCs w:val="24"/>
        </w:rPr>
      </w:pPr>
      <w:r>
        <w:rPr>
          <w:rFonts w:cs="Calibri" w:ascii="Times New Roman" w:hAnsi="Times New Roman"/>
          <w:b/>
          <w:bCs/>
          <w:sz w:val="24"/>
          <w:szCs w:val="24"/>
        </w:rPr>
      </w:r>
    </w:p>
    <w:p>
      <w:pPr>
        <w:pStyle w:val="Normal"/>
        <w:numPr>
          <w:ilvl w:val="0"/>
          <w:numId w:val="18"/>
        </w:numPr>
        <w:tabs>
          <w:tab w:val="center" w:pos="4320" w:leader="none"/>
          <w:tab w:val="right" w:pos="8640" w:leader="none"/>
        </w:tabs>
        <w:spacing w:lineRule="auto" w:line="240" w:before="0" w:after="0"/>
        <w:ind w:left="360" w:right="-90" w:hanging="360"/>
        <w:rPr>
          <w:rFonts w:cs="Calibri" w:ascii="Times New Roman" w:hAnsi="Times New Roman"/>
          <w:b/>
          <w:bCs/>
          <w:sz w:val="24"/>
          <w:szCs w:val="24"/>
        </w:rPr>
      </w:pPr>
      <w:r>
        <w:rPr>
          <w:rFonts w:cs="Calibri" w:ascii="Times New Roman" w:hAnsi="Times New Roman"/>
          <w:b/>
          <w:bCs/>
          <w:sz w:val="24"/>
          <w:szCs w:val="24"/>
        </w:rPr>
        <w:t>INFORMAŢII GENERALE</w:t>
      </w:r>
    </w:p>
    <w:p>
      <w:pPr>
        <w:pStyle w:val="Normal"/>
        <w:tabs>
          <w:tab w:val="center" w:pos="4320" w:leader="none"/>
          <w:tab w:val="right" w:pos="8640" w:leader="none"/>
        </w:tabs>
        <w:spacing w:lineRule="auto" w:line="240" w:before="0" w:after="0"/>
        <w:ind w:left="360" w:right="-90" w:hanging="0"/>
        <w:rPr>
          <w:rFonts w:cs="Calibri" w:ascii="Times New Roman" w:hAnsi="Times New Roman"/>
          <w:b/>
          <w:bCs/>
          <w:sz w:val="24"/>
          <w:szCs w:val="24"/>
        </w:rPr>
      </w:pPr>
      <w:r>
        <w:rPr>
          <w:rFonts w:cs="Calibri" w:ascii="Times New Roman" w:hAnsi="Times New Roman"/>
          <w:b/>
          <w:bCs/>
          <w:sz w:val="24"/>
          <w:szCs w:val="24"/>
        </w:rPr>
      </w:r>
    </w:p>
    <w:p>
      <w:pPr>
        <w:pStyle w:val="Normal"/>
        <w:tabs>
          <w:tab w:val="center" w:pos="4530" w:leader="none"/>
          <w:tab w:val="right" w:pos="9075" w:leader="none"/>
        </w:tabs>
        <w:spacing w:lineRule="auto" w:line="240" w:before="0" w:after="0"/>
        <w:ind w:left="0" w:right="-90" w:hanging="0"/>
        <w:rPr>
          <w:rFonts w:cs="Calibri" w:ascii="Times New Roman" w:hAnsi="Times New Roman"/>
          <w:b/>
          <w:bCs/>
          <w:sz w:val="24"/>
          <w:szCs w:val="24"/>
        </w:rPr>
      </w:pPr>
      <w:r>
        <w:rPr>
          <w:rFonts w:cs="Calibri" w:ascii="Times New Roman" w:hAnsi="Times New Roman"/>
          <w:b/>
          <w:bCs/>
          <w:sz w:val="24"/>
          <w:szCs w:val="24"/>
        </w:rPr>
        <w:t>1.  CONTRACTANT</w:t>
      </w:r>
    </w:p>
    <w:p>
      <w:pPr>
        <w:pStyle w:val="Normal"/>
        <w:tabs>
          <w:tab w:val="center" w:pos="4530"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t xml:space="preserve">     </w:t>
      </w:r>
      <w:r>
        <w:rPr>
          <w:rFonts w:cs="Calibri" w:ascii="Times New Roman" w:hAnsi="Times New Roman"/>
          <w:sz w:val="24"/>
          <w:szCs w:val="24"/>
        </w:rPr>
        <w:t>Direcţia Generală de Asistenţă Socială şi Protecţia Copilului Ialomiţa cu sediul în Slobozia, str. Ct.D. Gherea nr. 1, jud. Ialomiţa, telefon 0243/231088, fax 0243/233407, e-mail  office@dpcialomita.ro.</w:t>
      </w:r>
    </w:p>
    <w:p>
      <w:pPr>
        <w:pStyle w:val="Normal"/>
        <w:tabs>
          <w:tab w:val="center" w:pos="4530"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r>
    </w:p>
    <w:p>
      <w:pPr>
        <w:pStyle w:val="Normal"/>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2. BENEFICIARII SERVICIILOR</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Categorii de persoane nominalizate în cadrul proiectului ,,Calificarea meseriașilor tradiționali romi” POSDRU/118/6.2/G/124568.</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r>
    </w:p>
    <w:p>
      <w:pPr>
        <w:pStyle w:val="Normal"/>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 xml:space="preserve">3. DESCRIEREA SERVICIILOR: </w:t>
      </w:r>
    </w:p>
    <w:p>
      <w:pPr>
        <w:pStyle w:val="Normal"/>
        <w:numPr>
          <w:ilvl w:val="0"/>
          <w:numId w:val="2"/>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Organizarea de cursuri de calificare de nivel 1 pentru 125 de beneficiari ai proiectului, cu o durată de 60 de zile pe curs (6 ore pe zi), conform tabelului 1 de mai jos; </w:t>
      </w:r>
    </w:p>
    <w:p>
      <w:pPr>
        <w:pStyle w:val="Normal"/>
        <w:numPr>
          <w:ilvl w:val="0"/>
          <w:numId w:val="2"/>
        </w:numPr>
        <w:spacing w:lineRule="auto" w:line="240" w:before="0" w:after="0"/>
        <w:jc w:val="both"/>
        <w:rPr>
          <w:rFonts w:cs="Calibri" w:ascii="Times New Roman" w:hAnsi="Times New Roman"/>
          <w:sz w:val="24"/>
          <w:szCs w:val="24"/>
        </w:rPr>
      </w:pPr>
      <w:r>
        <w:rPr>
          <w:rFonts w:cs="Calibri" w:ascii="Times New Roman" w:hAnsi="Times New Roman"/>
          <w:sz w:val="24"/>
          <w:szCs w:val="24"/>
        </w:rPr>
        <w:t>Asigurarea mesei şi transportului cursanţilor pe durata celor 60 de zile ale fiecărui curs, conform descrierii din secțiunea B2.</w:t>
      </w:r>
    </w:p>
    <w:p>
      <w:pPr>
        <w:pStyle w:val="Normal"/>
        <w:spacing w:lineRule="auto" w:line="240" w:before="0" w:after="0"/>
        <w:jc w:val="both"/>
        <w:rPr>
          <w:rFonts w:cs="Calibri" w:ascii="Times New Roman" w:hAnsi="Times New Roman"/>
          <w:sz w:val="24"/>
          <w:szCs w:val="24"/>
        </w:rPr>
      </w:pPr>
      <w:r>
        <w:rPr>
          <w:rFonts w:cs="Calibri" w:ascii="Times New Roman" w:hAnsi="Times New Roman"/>
          <w:sz w:val="24"/>
          <w:szCs w:val="24"/>
        </w:rPr>
      </w:r>
    </w:p>
    <w:p>
      <w:pPr>
        <w:pStyle w:val="Normal"/>
        <w:tabs>
          <w:tab w:val="center" w:pos="4320" w:leader="none"/>
          <w:tab w:val="right" w:pos="8640" w:leader="none"/>
        </w:tabs>
        <w:spacing w:lineRule="auto" w:line="240" w:before="0" w:after="0"/>
        <w:ind w:left="0" w:right="-90" w:hanging="0"/>
        <w:jc w:val="both"/>
        <w:rPr>
          <w:rFonts w:cs="Calibri" w:ascii="Times New Roman" w:hAnsi="Times New Roman"/>
          <w:b/>
          <w:bCs/>
          <w:sz w:val="24"/>
          <w:szCs w:val="24"/>
        </w:rPr>
      </w:pPr>
      <w:r>
        <w:rPr>
          <w:rFonts w:cs="Calibri" w:ascii="Times New Roman" w:hAnsi="Times New Roman"/>
          <w:b/>
          <w:bCs/>
          <w:sz w:val="24"/>
          <w:szCs w:val="24"/>
        </w:rPr>
        <w:t>4. SCOPUL FORMĂRII:</w:t>
      </w:r>
    </w:p>
    <w:p>
      <w:pPr>
        <w:pStyle w:val="Normal"/>
        <w:spacing w:before="0" w:after="195"/>
        <w:jc w:val="both"/>
        <w:rPr>
          <w:rFonts w:cs="Calibri" w:ascii="Times New Roman" w:hAnsi="Times New Roman"/>
          <w:sz w:val="24"/>
          <w:szCs w:val="24"/>
        </w:rPr>
      </w:pPr>
      <w:r>
        <w:rPr>
          <w:rFonts w:cs="Calibri" w:ascii="Times New Roman" w:hAnsi="Times New Roman"/>
          <w:sz w:val="24"/>
          <w:szCs w:val="24"/>
        </w:rPr>
        <w:t xml:space="preserve">       </w:t>
      </w:r>
      <w:r>
        <w:rPr>
          <w:rFonts w:cs="Calibri" w:ascii="Times New Roman" w:hAnsi="Times New Roman"/>
          <w:sz w:val="24"/>
          <w:szCs w:val="24"/>
        </w:rPr>
        <w:t>În urma absolvirii programului, beneficiarii obţin certificate de calificare în meseriile menţionate în tabel 1 şi</w:t>
      </w:r>
      <w:r>
        <w:rPr>
          <w:rFonts w:cs="Calibri" w:ascii="Times New Roman" w:hAnsi="Times New Roman"/>
          <w:b/>
          <w:bCs/>
          <w:sz w:val="24"/>
          <w:szCs w:val="24"/>
        </w:rPr>
        <w:t xml:space="preserve"> </w:t>
      </w:r>
      <w:r>
        <w:rPr>
          <w:rFonts w:cs="Calibri" w:ascii="Times New Roman" w:hAnsi="Times New Roman"/>
          <w:sz w:val="24"/>
          <w:szCs w:val="24"/>
        </w:rPr>
        <w:t>dobândesc competente în conformitate cu standardele de pregătire profesională/standardele ocupaţionale cerute pe piaţa muncii, astfel încât aceştia să poată ocupa un loc de muncă.</w:t>
      </w:r>
    </w:p>
    <w:p>
      <w:pPr>
        <w:pStyle w:val="Normal"/>
        <w:spacing w:before="0" w:after="195"/>
        <w:jc w:val="both"/>
        <w:rPr>
          <w:rFonts w:cs="Calibri" w:ascii="Times New Roman" w:hAnsi="Times New Roman"/>
          <w:b/>
          <w:bCs/>
          <w:sz w:val="24"/>
          <w:szCs w:val="24"/>
        </w:rPr>
      </w:pPr>
      <w:r>
        <w:rPr>
          <w:rFonts w:cs="Calibri" w:ascii="Times New Roman" w:hAnsi="Times New Roman"/>
          <w:b/>
          <w:bCs/>
          <w:sz w:val="24"/>
          <w:szCs w:val="24"/>
        </w:rPr>
        <w:t>5. OBIECTIVELE SERVICIILOR</w:t>
      </w:r>
    </w:p>
    <w:p>
      <w:pPr>
        <w:pStyle w:val="Normal"/>
        <w:numPr>
          <w:ilvl w:val="0"/>
          <w:numId w:val="15"/>
        </w:numPr>
        <w:tabs>
          <w:tab w:val="center" w:pos="4320" w:leader="none"/>
          <w:tab w:val="right" w:pos="8640" w:leader="none"/>
        </w:tabs>
        <w:spacing w:lineRule="auto" w:line="240" w:before="0" w:after="0"/>
        <w:ind w:left="360" w:right="-90" w:hanging="360"/>
        <w:jc w:val="both"/>
        <w:rPr>
          <w:rFonts w:cs="Calibri" w:ascii="Times New Roman" w:hAnsi="Times New Roman"/>
          <w:sz w:val="24"/>
          <w:szCs w:val="24"/>
        </w:rPr>
      </w:pPr>
      <w:r>
        <w:rPr>
          <w:rFonts w:cs="Calibri" w:ascii="Times New Roman" w:hAnsi="Times New Roman"/>
          <w:b/>
          <w:bCs/>
          <w:sz w:val="24"/>
          <w:szCs w:val="24"/>
        </w:rPr>
        <w:t xml:space="preserve">Obiectiv  general: </w:t>
      </w:r>
      <w:r>
        <w:rPr>
          <w:rFonts w:cs="Calibri" w:ascii="Times New Roman" w:hAnsi="Times New Roman"/>
          <w:sz w:val="24"/>
          <w:szCs w:val="24"/>
        </w:rPr>
        <w:t>asigurarea accesului şi a participării persoanelor de etnie romă, familiilor monoparentale, angajaţilor, personalului administraţiei publice locale, personalului organizaţiilor societăţii civile şi familiilor care au mai mult de 2 copii din regiunea Ialomiţa în câmpul muncii.</w:t>
      </w:r>
    </w:p>
    <w:p>
      <w:pPr>
        <w:pStyle w:val="Normal"/>
        <w:spacing w:lineRule="auto" w:line="240" w:before="0" w:after="0"/>
        <w:ind w:left="360" w:right="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15"/>
        </w:numPr>
        <w:tabs>
          <w:tab w:val="center" w:pos="4320" w:leader="none"/>
          <w:tab w:val="right" w:pos="8640" w:leader="none"/>
        </w:tabs>
        <w:spacing w:lineRule="auto" w:line="240" w:before="0" w:after="0"/>
        <w:ind w:left="360" w:right="-90" w:hanging="360"/>
        <w:jc w:val="both"/>
        <w:rPr>
          <w:rFonts w:cs="Calibri" w:ascii="Times New Roman" w:hAnsi="Times New Roman"/>
          <w:b/>
          <w:bCs/>
          <w:sz w:val="24"/>
          <w:szCs w:val="24"/>
        </w:rPr>
      </w:pPr>
      <w:r>
        <w:rPr>
          <w:rFonts w:cs="Calibri" w:ascii="Times New Roman" w:hAnsi="Times New Roman"/>
          <w:b/>
          <w:bCs/>
          <w:sz w:val="24"/>
          <w:szCs w:val="24"/>
        </w:rPr>
        <w:t>Obiective specifice:</w:t>
      </w:r>
    </w:p>
    <w:p>
      <w:pPr>
        <w:pStyle w:val="Normal"/>
        <w:numPr>
          <w:ilvl w:val="0"/>
          <w:numId w:val="4"/>
        </w:numPr>
        <w:tabs>
          <w:tab w:val="center" w:pos="4530" w:leader="none"/>
          <w:tab w:val="right" w:pos="9075" w:leader="none"/>
        </w:tabs>
        <w:spacing w:lineRule="auto" w:line="240" w:before="0" w:after="0"/>
        <w:ind w:left="720" w:right="-90" w:hanging="360"/>
        <w:jc w:val="both"/>
        <w:rPr>
          <w:rFonts w:cs="Calibri" w:ascii="Times New Roman" w:hAnsi="Times New Roman"/>
          <w:sz w:val="24"/>
          <w:szCs w:val="24"/>
        </w:rPr>
      </w:pPr>
      <w:r>
        <w:rPr>
          <w:rFonts w:cs="Calibri" w:ascii="Times New Roman" w:hAnsi="Times New Roman"/>
          <w:sz w:val="24"/>
          <w:szCs w:val="24"/>
        </w:rPr>
        <w:t>pregătirea teoretică şi practica în meseriile cuprinse în tabel astfel încât să fie realizată o rată de certificare de cel puţin 85 %.</w:t>
      </w:r>
    </w:p>
    <w:p>
      <w:pPr>
        <w:pStyle w:val="Normal"/>
        <w:numPr>
          <w:ilvl w:val="0"/>
          <w:numId w:val="4"/>
        </w:numPr>
        <w:spacing w:lineRule="auto" w:line="240" w:before="0" w:after="0"/>
        <w:jc w:val="both"/>
        <w:rPr>
          <w:rFonts w:cs="Calibri" w:ascii="Times New Roman" w:hAnsi="Times New Roman"/>
          <w:sz w:val="24"/>
          <w:szCs w:val="24"/>
        </w:rPr>
      </w:pPr>
      <w:r>
        <w:rPr>
          <w:rFonts w:cs="Calibri" w:ascii="Times New Roman" w:hAnsi="Times New Roman"/>
          <w:sz w:val="24"/>
          <w:szCs w:val="24"/>
        </w:rPr>
        <w:t>însuşirea cunoştinţelor teoretice şi a deprinderilor practice necesare pentru desfăşurarea activităţilor la nivelul standardelor de performanţă cerute şi motivarea cursanţilor astfel încât rata de abandon a cursului să fie zero;</w:t>
      </w:r>
    </w:p>
    <w:p>
      <w:pPr>
        <w:pStyle w:val="Normal"/>
        <w:tabs>
          <w:tab w:val="center" w:pos="4530"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r>
    </w:p>
    <w:p>
      <w:pPr>
        <w:pStyle w:val="Normal"/>
        <w:tabs>
          <w:tab w:val="center" w:pos="4530" w:leader="none"/>
          <w:tab w:val="right" w:pos="9075" w:leader="none"/>
        </w:tabs>
        <w:spacing w:lineRule="auto" w:line="240" w:before="0" w:after="0"/>
        <w:ind w:left="0" w:right="-90" w:hanging="0"/>
        <w:jc w:val="both"/>
        <w:rPr>
          <w:rFonts w:cs="Calibri" w:ascii="Times New Roman" w:hAnsi="Times New Roman"/>
          <w:b/>
          <w:bCs/>
          <w:sz w:val="24"/>
          <w:szCs w:val="24"/>
        </w:rPr>
      </w:pPr>
      <w:r>
        <w:rPr>
          <w:rFonts w:cs="Calibri" w:ascii="Times New Roman" w:hAnsi="Times New Roman"/>
          <w:b/>
          <w:bCs/>
          <w:sz w:val="24"/>
          <w:szCs w:val="24"/>
        </w:rPr>
        <w:t>6. PARTICIPANŢI</w:t>
      </w:r>
    </w:p>
    <w:p>
      <w:pPr>
        <w:pStyle w:val="Normal"/>
        <w:tabs>
          <w:tab w:val="center" w:pos="4530" w:leader="none"/>
          <w:tab w:val="right" w:pos="9075" w:leader="none"/>
        </w:tabs>
        <w:spacing w:lineRule="auto" w:line="240" w:before="0" w:after="0"/>
        <w:ind w:left="360" w:right="-90" w:hanging="0"/>
        <w:jc w:val="both"/>
        <w:rPr>
          <w:rFonts w:cs="Calibri" w:ascii="Times New Roman" w:hAnsi="Times New Roman"/>
          <w:sz w:val="24"/>
          <w:szCs w:val="24"/>
        </w:rPr>
      </w:pPr>
      <w:r>
        <w:rPr>
          <w:rFonts w:cs="Calibri" w:ascii="Times New Roman" w:hAnsi="Times New Roman"/>
          <w:sz w:val="24"/>
          <w:szCs w:val="24"/>
        </w:rPr>
        <w:t>Selecţia participanţilor se va face de către D.G.A.S.P.C. Ialomiţa pe următoarele criterii:</w:t>
      </w:r>
    </w:p>
    <w:p>
      <w:pPr>
        <w:pStyle w:val="Normal"/>
        <w:numPr>
          <w:ilvl w:val="0"/>
          <w:numId w:val="20"/>
        </w:numPr>
        <w:spacing w:lineRule="auto" w:line="240" w:before="0" w:after="0"/>
        <w:jc w:val="both"/>
        <w:rPr>
          <w:rFonts w:cs="Calibri" w:ascii="Times New Roman" w:hAnsi="Times New Roman"/>
          <w:sz w:val="24"/>
          <w:szCs w:val="24"/>
        </w:rPr>
      </w:pPr>
      <w:r>
        <w:rPr>
          <w:rFonts w:cs="Calibri" w:ascii="Times New Roman" w:hAnsi="Times New Roman"/>
          <w:sz w:val="24"/>
          <w:szCs w:val="24"/>
        </w:rPr>
        <w:t>statut: persoane de etnie romă, familii monoparentale, angajaţi, personal al administraţiei publice locale, personal al organizaţiilor societăţii civile, familii care au mai mult de 2 copii;</w:t>
      </w:r>
    </w:p>
    <w:p>
      <w:pPr>
        <w:pStyle w:val="Normal"/>
        <w:numPr>
          <w:ilvl w:val="0"/>
          <w:numId w:val="20"/>
        </w:numPr>
        <w:spacing w:lineRule="auto" w:line="240" w:before="0" w:after="0"/>
        <w:jc w:val="both"/>
        <w:rPr>
          <w:rFonts w:cs="Calibri" w:ascii="Times New Roman" w:hAnsi="Times New Roman"/>
          <w:sz w:val="24"/>
          <w:szCs w:val="24"/>
        </w:rPr>
      </w:pPr>
      <w:r>
        <w:rPr>
          <w:rFonts w:cs="Calibri" w:ascii="Times New Roman" w:hAnsi="Times New Roman"/>
          <w:sz w:val="24"/>
          <w:szCs w:val="24"/>
        </w:rPr>
        <w:t>studii: participanţii trebuie să fie absolvenţi ai învăţământului obligatoriu.</w:t>
      </w:r>
    </w:p>
    <w:p>
      <w:pPr>
        <w:pStyle w:val="Normal"/>
        <w:numPr>
          <w:ilvl w:val="0"/>
          <w:numId w:val="20"/>
        </w:numPr>
        <w:spacing w:lineRule="auto" w:line="240" w:before="0" w:after="0"/>
        <w:jc w:val="both"/>
        <w:rPr>
          <w:rFonts w:cs="Calibri" w:ascii="Times New Roman" w:hAnsi="Times New Roman"/>
          <w:sz w:val="24"/>
          <w:szCs w:val="24"/>
        </w:rPr>
      </w:pPr>
      <w:r>
        <w:rPr>
          <w:rFonts w:cs="Calibri" w:ascii="Times New Roman" w:hAnsi="Times New Roman"/>
          <w:sz w:val="24"/>
          <w:szCs w:val="24"/>
        </w:rPr>
        <w:t>persoanele vor fi înscrise la cursuri în urma orientării şi selecţiei efectuate de consilierii de orientare profesională implicaţi în implementarea proiectului.</w:t>
      </w:r>
    </w:p>
    <w:p>
      <w:pPr>
        <w:pStyle w:val="Normal"/>
        <w:spacing w:lineRule="auto" w:line="240" w:before="0" w:after="0"/>
        <w:jc w:val="both"/>
        <w:rPr>
          <w:rFonts w:cs="Calibri" w:ascii="Times New Roman" w:hAnsi="Times New Roman"/>
          <w:sz w:val="24"/>
          <w:szCs w:val="24"/>
        </w:rPr>
      </w:pPr>
      <w:r>
        <w:rPr>
          <w:rFonts w:cs="Calibri" w:ascii="Times New Roman" w:hAnsi="Times New Roman"/>
          <w:sz w:val="24"/>
          <w:szCs w:val="24"/>
        </w:rPr>
      </w:r>
    </w:p>
    <w:p>
      <w:pPr>
        <w:pStyle w:val="Normal"/>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B. DESCRIEREA DETALIATĂ A SERVICIILOR CE FAC OBIECTUL ACHIZIŢIEI</w:t>
      </w:r>
    </w:p>
    <w:p>
      <w:pPr>
        <w:pStyle w:val="Normal"/>
        <w:spacing w:lineRule="auto" w:line="240" w:before="0" w:after="0"/>
        <w:jc w:val="both"/>
        <w:rPr>
          <w:rFonts w:cs="Calibri" w:ascii="Times New Roman" w:hAnsi="Times New Roman"/>
          <w:sz w:val="24"/>
          <w:szCs w:val="24"/>
        </w:rPr>
      </w:pPr>
      <w:r>
        <w:rPr>
          <w:rFonts w:cs="Calibri" w:ascii="Times New Roman" w:hAnsi="Times New Roman"/>
          <w:sz w:val="24"/>
          <w:szCs w:val="24"/>
        </w:rPr>
      </w:r>
    </w:p>
    <w:p>
      <w:pPr>
        <w:pStyle w:val="Normal"/>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 xml:space="preserve">B.1 LOTUL 1: CURSURI DE FORMARE PROFESIONALĂ </w:t>
      </w:r>
    </w:p>
    <w:p>
      <w:pPr>
        <w:pStyle w:val="Normal"/>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 xml:space="preserve">Valoare estimată totală:  117650 lei </w:t>
      </w:r>
    </w:p>
    <w:p>
      <w:pPr>
        <w:pStyle w:val="Normal"/>
        <w:spacing w:lineRule="auto" w:line="240" w:before="0" w:after="0"/>
        <w:ind w:left="7080" w:right="0" w:firstLine="705"/>
        <w:jc w:val="center"/>
        <w:rPr>
          <w:rFonts w:cs="Calibri" w:ascii="Times New Roman" w:hAnsi="Times New Roman"/>
          <w:b/>
          <w:bCs/>
          <w:sz w:val="24"/>
          <w:szCs w:val="24"/>
        </w:rPr>
      </w:pPr>
      <w:r>
        <w:rPr>
          <w:rFonts w:cs="Calibri" w:ascii="Times New Roman" w:hAnsi="Times New Roman"/>
          <w:b/>
          <w:bCs/>
          <w:sz w:val="24"/>
          <w:szCs w:val="24"/>
        </w:rPr>
        <w:t>TABEL 1</w:t>
      </w:r>
    </w:p>
    <w:tbl>
      <w:tblPr>
        <w:jc w:val="left"/>
        <w:tblInd w:w="90" w:type="dxa"/>
        <w:tblBorders>
          <w:top w:val="single" w:sz="6" w:space="0" w:color="000001"/>
          <w:left w:val="single" w:sz="6" w:space="0" w:color="000001"/>
          <w:bottom w:val="single" w:sz="6" w:space="0" w:color="000001"/>
          <w:insideH w:val="single" w:sz="6" w:space="0" w:color="000001"/>
          <w:right w:val="single" w:sz="6" w:space="0" w:color="000001"/>
          <w:insideV w:val="single" w:sz="6" w:space="0" w:color="000001"/>
        </w:tblBorders>
        <w:tblCellMar>
          <w:top w:w="0" w:type="dxa"/>
          <w:left w:w="97" w:type="dxa"/>
          <w:bottom w:w="0" w:type="dxa"/>
          <w:right w:w="105" w:type="dxa"/>
        </w:tblCellMar>
      </w:tblPr>
      <w:tblGrid>
        <w:gridCol w:w="510"/>
        <w:gridCol w:w="2459"/>
        <w:gridCol w:w="1439"/>
        <w:gridCol w:w="1290"/>
        <w:gridCol w:w="1679"/>
        <w:gridCol w:w="2282"/>
      </w:tblGrid>
      <w:tr>
        <w:trPr>
          <w:tblHeader w:val="true"/>
          <w:trHeight w:val="1290" w:hRule="atLeast"/>
          <w:cantSplit w:val="false"/>
        </w:trPr>
        <w:tc>
          <w:tcPr>
            <w:tcW w:w="51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jc w:val="center"/>
              <w:rPr>
                <w:rFonts w:cs="Calibri" w:ascii="Times New Roman" w:hAnsi="Times New Roman"/>
                <w:b/>
                <w:bCs/>
              </w:rPr>
            </w:pPr>
            <w:r>
              <w:rPr>
                <w:rFonts w:cs="Calibri" w:ascii="Times New Roman" w:hAnsi="Times New Roman"/>
                <w:b/>
                <w:bCs/>
              </w:rPr>
              <w:t>Nr. crt</w:t>
            </w:r>
          </w:p>
        </w:tc>
        <w:tc>
          <w:tcPr>
            <w:tcW w:w="245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rPr>
            </w:pPr>
            <w:r>
              <w:rPr>
                <w:rFonts w:cs="Calibri" w:ascii="Times New Roman" w:hAnsi="Times New Roman"/>
                <w:b/>
                <w:bCs/>
              </w:rPr>
              <w:t xml:space="preserve">Denumire curs </w:t>
            </w:r>
          </w:p>
        </w:tc>
        <w:tc>
          <w:tcPr>
            <w:tcW w:w="143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jc w:val="center"/>
              <w:rPr>
                <w:rFonts w:cs="Calibri" w:ascii="Times New Roman" w:hAnsi="Times New Roman"/>
                <w:b/>
                <w:bCs/>
              </w:rPr>
            </w:pPr>
            <w:r>
              <w:rPr>
                <w:rFonts w:cs="Calibri" w:ascii="Times New Roman" w:hAnsi="Times New Roman"/>
                <w:b/>
                <w:bCs/>
              </w:rPr>
              <w:t>Tarif estimat pe cursant (lei)</w:t>
            </w:r>
          </w:p>
        </w:tc>
        <w:tc>
          <w:tcPr>
            <w:tcW w:w="129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jc w:val="center"/>
              <w:rPr>
                <w:rFonts w:cs="Calibri"/>
                <w:b/>
                <w:bCs/>
              </w:rPr>
            </w:pPr>
            <w:r>
              <w:rPr>
                <w:rFonts w:cs="Calibri"/>
                <w:b/>
                <w:bCs/>
              </w:rPr>
              <w:t>Valoarea estimată totală (lei)</w:t>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jc w:val="center"/>
              <w:rPr>
                <w:rFonts w:cs="Calibri"/>
                <w:b/>
                <w:bCs/>
              </w:rPr>
            </w:pPr>
            <w:r>
              <w:rPr>
                <w:rFonts w:cs="Calibri"/>
                <w:b/>
                <w:bCs/>
              </w:rPr>
              <w:t>Localitatea din județul Ialomița de desfăşurare a cursului</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jc w:val="center"/>
              <w:rPr>
                <w:rFonts w:cs="Calibri"/>
                <w:b/>
                <w:bCs/>
              </w:rPr>
            </w:pPr>
            <w:r>
              <w:rPr>
                <w:rFonts w:cs="Calibri"/>
                <w:b/>
                <w:bCs/>
              </w:rPr>
              <w:t>Nr. participanţi pe curs</w:t>
            </w:r>
          </w:p>
        </w:tc>
      </w:tr>
      <w:tr>
        <w:trPr>
          <w:trHeight w:val="660" w:hRule="atLeast"/>
          <w:cantSplit w:val="false"/>
        </w:trPr>
        <w:tc>
          <w:tcPr>
            <w:tcW w:w="510" w:type="dxa"/>
            <w:vMerge w:val="restart"/>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195"/>
              <w:jc w:val="center"/>
              <w:rPr>
                <w:rFonts w:cs="Calibri" w:ascii="Times New Roman" w:hAnsi="Times New Roman"/>
                <w:sz w:val="24"/>
                <w:szCs w:val="24"/>
              </w:rPr>
            </w:pPr>
            <w:r>
              <w:rPr>
                <w:rFonts w:cs="Calibri" w:ascii="Times New Roman" w:hAnsi="Times New Roman"/>
                <w:sz w:val="24"/>
                <w:szCs w:val="24"/>
              </w:rPr>
              <w:t>1</w:t>
            </w:r>
          </w:p>
        </w:tc>
        <w:tc>
          <w:tcPr>
            <w:tcW w:w="2459" w:type="dxa"/>
            <w:vMerge w:val="restart"/>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rPr>
                <w:rFonts w:cs="Calibri" w:ascii="Times New Roman" w:hAnsi="Times New Roman"/>
                <w:sz w:val="24"/>
                <w:szCs w:val="24"/>
              </w:rPr>
            </w:pPr>
            <w:r>
              <w:rPr>
                <w:rFonts w:cs="Calibri" w:ascii="Times New Roman" w:hAnsi="Times New Roman"/>
                <w:sz w:val="24"/>
                <w:szCs w:val="24"/>
              </w:rPr>
              <w:t>tinichigiu carosier</w:t>
            </w:r>
          </w:p>
        </w:tc>
        <w:tc>
          <w:tcPr>
            <w:tcW w:w="1439" w:type="dxa"/>
            <w:vMerge w:val="restart"/>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1050</w:t>
            </w:r>
          </w:p>
        </w:tc>
        <w:tc>
          <w:tcPr>
            <w:tcW w:w="1290" w:type="dxa"/>
            <w:vMerge w:val="restart"/>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42000</w:t>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ascii="Times New Roman" w:hAnsi="Times New Roman"/>
                <w:sz w:val="24"/>
                <w:szCs w:val="24"/>
              </w:rPr>
            </w:pPr>
            <w:r>
              <w:rPr>
                <w:rFonts w:cs="Calibri" w:ascii="Times New Roman" w:hAnsi="Times New Roman"/>
                <w:sz w:val="24"/>
                <w:szCs w:val="24"/>
              </w:rPr>
              <w:t>Urziceni</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14 cursanţi (1 grupă)</w:t>
            </w:r>
          </w:p>
        </w:tc>
      </w:tr>
      <w:tr>
        <w:trPr>
          <w:trHeight w:val="645" w:hRule="atLeast"/>
          <w:cantSplit w:val="false"/>
        </w:trPr>
        <w:tc>
          <w:tcPr>
            <w:tcW w:w="510" w:type="dxa"/>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2459" w:type="dxa"/>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1439" w:type="dxa"/>
            <w:vMerge w:val="continue"/>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1290" w:type="dxa"/>
            <w:vMerge w:val="continue"/>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ascii="Times New Roman" w:hAnsi="Times New Roman"/>
                <w:sz w:val="24"/>
                <w:szCs w:val="24"/>
              </w:rPr>
            </w:pPr>
            <w:r>
              <w:rPr>
                <w:rFonts w:cs="Calibri" w:ascii="Times New Roman" w:hAnsi="Times New Roman"/>
                <w:sz w:val="24"/>
                <w:szCs w:val="24"/>
              </w:rPr>
              <w:t>Traian</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26 cursanţi (2 grupe)</w:t>
            </w:r>
          </w:p>
        </w:tc>
      </w:tr>
      <w:tr>
        <w:trPr>
          <w:trHeight w:val="750" w:hRule="atLeast"/>
          <w:cantSplit w:val="false"/>
        </w:trPr>
        <w:tc>
          <w:tcPr>
            <w:tcW w:w="51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195"/>
              <w:jc w:val="center"/>
              <w:rPr>
                <w:rFonts w:cs="Calibri" w:ascii="Times New Roman" w:hAnsi="Times New Roman"/>
                <w:sz w:val="24"/>
                <w:szCs w:val="24"/>
              </w:rPr>
            </w:pPr>
            <w:r>
              <w:rPr>
                <w:rFonts w:cs="Calibri" w:ascii="Times New Roman" w:hAnsi="Times New Roman"/>
                <w:sz w:val="24"/>
                <w:szCs w:val="24"/>
              </w:rPr>
              <w:t>2</w:t>
            </w:r>
          </w:p>
        </w:tc>
        <w:tc>
          <w:tcPr>
            <w:tcW w:w="245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rPr>
                <w:rFonts w:cs="Calibri"/>
                <w:sz w:val="24"/>
                <w:szCs w:val="24"/>
              </w:rPr>
            </w:pPr>
            <w:r>
              <w:rPr>
                <w:rFonts w:cs="Calibri"/>
                <w:sz w:val="24"/>
                <w:szCs w:val="24"/>
              </w:rPr>
              <w:t>îngrijitor bătrâni</w:t>
            </w:r>
          </w:p>
        </w:tc>
        <w:tc>
          <w:tcPr>
            <w:tcW w:w="143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850</w:t>
            </w:r>
          </w:p>
        </w:tc>
        <w:tc>
          <w:tcPr>
            <w:tcW w:w="129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12750</w:t>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ascii="Times New Roman" w:hAnsi="Times New Roman"/>
                <w:sz w:val="24"/>
                <w:szCs w:val="24"/>
              </w:rPr>
            </w:pPr>
            <w:r>
              <w:rPr>
                <w:rFonts w:cs="Calibri" w:ascii="Times New Roman" w:hAnsi="Times New Roman"/>
                <w:sz w:val="24"/>
                <w:szCs w:val="24"/>
              </w:rPr>
              <w:t>Traian</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15 cursanţi (1 grupă)</w:t>
            </w:r>
          </w:p>
        </w:tc>
      </w:tr>
      <w:tr>
        <w:trPr>
          <w:trHeight w:val="690" w:hRule="atLeast"/>
          <w:cantSplit w:val="false"/>
        </w:trPr>
        <w:tc>
          <w:tcPr>
            <w:tcW w:w="510" w:type="dxa"/>
            <w:vMerge w:val="restart"/>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195"/>
              <w:jc w:val="center"/>
              <w:rPr>
                <w:rFonts w:cs="Calibri" w:ascii="Times New Roman" w:hAnsi="Times New Roman"/>
                <w:sz w:val="24"/>
                <w:szCs w:val="24"/>
              </w:rPr>
            </w:pPr>
            <w:r>
              <w:rPr>
                <w:rFonts w:cs="Calibri" w:ascii="Times New Roman" w:hAnsi="Times New Roman"/>
                <w:sz w:val="24"/>
                <w:szCs w:val="24"/>
              </w:rPr>
              <w:t>3</w:t>
            </w:r>
          </w:p>
        </w:tc>
        <w:tc>
          <w:tcPr>
            <w:tcW w:w="2459" w:type="dxa"/>
            <w:vMerge w:val="restart"/>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rPr>
                <w:rFonts w:cs="Calibri"/>
                <w:sz w:val="24"/>
                <w:szCs w:val="24"/>
              </w:rPr>
            </w:pPr>
            <w:r>
              <w:rPr>
                <w:rFonts w:cs="Calibri"/>
                <w:sz w:val="24"/>
                <w:szCs w:val="24"/>
              </w:rPr>
              <w:t>confecţioner construcţii metalice</w:t>
            </w:r>
          </w:p>
        </w:tc>
        <w:tc>
          <w:tcPr>
            <w:tcW w:w="1439" w:type="dxa"/>
            <w:vMerge w:val="restart"/>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935</w:t>
            </w:r>
          </w:p>
        </w:tc>
        <w:tc>
          <w:tcPr>
            <w:tcW w:w="1290" w:type="dxa"/>
            <w:vMerge w:val="restart"/>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37400</w:t>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ascii="Times New Roman" w:hAnsi="Times New Roman"/>
                <w:sz w:val="24"/>
                <w:szCs w:val="24"/>
              </w:rPr>
            </w:pPr>
            <w:r>
              <w:rPr>
                <w:rFonts w:cs="Calibri" w:ascii="Times New Roman" w:hAnsi="Times New Roman"/>
                <w:sz w:val="24"/>
                <w:szCs w:val="24"/>
              </w:rPr>
              <w:t>Slobozia</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14 cursanţi (1 grupă)</w:t>
            </w:r>
          </w:p>
        </w:tc>
      </w:tr>
      <w:tr>
        <w:trPr>
          <w:trHeight w:val="600" w:hRule="atLeast"/>
          <w:cantSplit w:val="false"/>
        </w:trPr>
        <w:tc>
          <w:tcPr>
            <w:tcW w:w="510" w:type="dxa"/>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2459" w:type="dxa"/>
            <w:vMerge w:val="continue"/>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1439" w:type="dxa"/>
            <w:vMerge w:val="continue"/>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1290" w:type="dxa"/>
            <w:vMerge w:val="continue"/>
            <w:tcBorders>
              <w:top w:val="single" w:sz="6" w:space="0" w:color="000001"/>
              <w:left w:val="single" w:sz="6" w:space="0" w:color="000001"/>
              <w:bottom w:val="nil"/>
              <w:insideH w:val="nil"/>
              <w:right w:val="single" w:sz="6" w:space="0" w:color="000001"/>
              <w:insideV w:val="single" w:sz="6" w:space="0" w:color="000001"/>
            </w:tcBorders>
            <w:shd w:fill="auto" w:val="clear"/>
            <w:tcMar>
              <w:left w:w="97" w:type="dxa"/>
            </w:tcMar>
            <w:vAlign w:val="center"/>
          </w:tcPr>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Feteşti</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26 cursanţi  (2 grupe)</w:t>
            </w:r>
          </w:p>
        </w:tc>
      </w:tr>
      <w:tr>
        <w:trPr>
          <w:trHeight w:val="570" w:hRule="atLeast"/>
          <w:cantSplit w:val="false"/>
        </w:trPr>
        <w:tc>
          <w:tcPr>
            <w:tcW w:w="51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195"/>
              <w:jc w:val="center"/>
              <w:rPr>
                <w:rFonts w:cs="Calibri" w:ascii="Times New Roman" w:hAnsi="Times New Roman"/>
                <w:sz w:val="24"/>
                <w:szCs w:val="24"/>
              </w:rPr>
            </w:pPr>
            <w:r>
              <w:rPr>
                <w:rFonts w:cs="Calibri" w:ascii="Times New Roman" w:hAnsi="Times New Roman"/>
                <w:sz w:val="24"/>
                <w:szCs w:val="24"/>
              </w:rPr>
              <w:t>4</w:t>
            </w:r>
          </w:p>
        </w:tc>
        <w:tc>
          <w:tcPr>
            <w:tcW w:w="245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rPr>
                <w:rFonts w:cs="Calibri" w:ascii="Times New Roman" w:hAnsi="Times New Roman"/>
                <w:sz w:val="24"/>
                <w:szCs w:val="24"/>
              </w:rPr>
            </w:pPr>
            <w:r>
              <w:rPr>
                <w:rFonts w:cs="Calibri" w:ascii="Times New Roman" w:hAnsi="Times New Roman"/>
                <w:sz w:val="24"/>
                <w:szCs w:val="24"/>
              </w:rPr>
              <w:t>babysitter</w:t>
            </w:r>
          </w:p>
        </w:tc>
        <w:tc>
          <w:tcPr>
            <w:tcW w:w="143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850</w:t>
            </w:r>
          </w:p>
        </w:tc>
        <w:tc>
          <w:tcPr>
            <w:tcW w:w="129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12750</w:t>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Feteşti</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15 cursanţi (1 grupă)</w:t>
            </w:r>
          </w:p>
        </w:tc>
      </w:tr>
      <w:tr>
        <w:trPr>
          <w:trHeight w:val="765" w:hRule="atLeast"/>
          <w:cantSplit w:val="false"/>
        </w:trPr>
        <w:tc>
          <w:tcPr>
            <w:tcW w:w="51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195"/>
              <w:jc w:val="center"/>
              <w:rPr>
                <w:rFonts w:cs="Calibri" w:ascii="Times New Roman" w:hAnsi="Times New Roman"/>
                <w:sz w:val="24"/>
                <w:szCs w:val="24"/>
              </w:rPr>
            </w:pPr>
            <w:r>
              <w:rPr>
                <w:rFonts w:cs="Calibri" w:ascii="Times New Roman" w:hAnsi="Times New Roman"/>
                <w:sz w:val="24"/>
                <w:szCs w:val="24"/>
              </w:rPr>
              <w:t>5</w:t>
            </w:r>
          </w:p>
        </w:tc>
        <w:tc>
          <w:tcPr>
            <w:tcW w:w="245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rPr>
                <w:rFonts w:cs="Calibri"/>
                <w:sz w:val="24"/>
                <w:szCs w:val="24"/>
              </w:rPr>
            </w:pPr>
            <w:r>
              <w:rPr>
                <w:rFonts w:cs="Calibri"/>
                <w:sz w:val="24"/>
                <w:szCs w:val="24"/>
              </w:rPr>
              <w:t>agent curăţenie clădiri şi mijloace de transport</w:t>
            </w:r>
          </w:p>
        </w:tc>
        <w:tc>
          <w:tcPr>
            <w:tcW w:w="143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850</w:t>
            </w:r>
          </w:p>
        </w:tc>
        <w:tc>
          <w:tcPr>
            <w:tcW w:w="1290"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0"/>
              <w:jc w:val="center"/>
              <w:rPr>
                <w:rFonts w:cs="Calibri"/>
                <w:sz w:val="24"/>
                <w:szCs w:val="24"/>
              </w:rPr>
            </w:pPr>
            <w:r>
              <w:rPr>
                <w:rFonts w:cs="Calibri"/>
                <w:sz w:val="24"/>
                <w:szCs w:val="24"/>
              </w:rPr>
              <w:t>12750</w:t>
            </w:r>
          </w:p>
        </w:tc>
        <w:tc>
          <w:tcPr>
            <w:tcW w:w="1679"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spacing w:before="0" w:after="195"/>
              <w:jc w:val="center"/>
              <w:rPr>
                <w:rFonts w:cs="Calibri" w:ascii="Times New Roman" w:hAnsi="Times New Roman"/>
                <w:sz w:val="24"/>
                <w:szCs w:val="24"/>
              </w:rPr>
            </w:pPr>
            <w:r>
              <w:rPr>
                <w:rFonts w:cs="Calibri" w:ascii="Times New Roman" w:hAnsi="Times New Roman"/>
                <w:sz w:val="24"/>
                <w:szCs w:val="24"/>
              </w:rPr>
              <w:t>Slobozia</w:t>
            </w:r>
          </w:p>
        </w:tc>
        <w:tc>
          <w:tcPr>
            <w:tcW w:w="2282" w:type="dxa"/>
            <w:tcBorders>
              <w:top w:val="single" w:sz="6" w:space="0" w:color="000001"/>
              <w:left w:val="single" w:sz="6" w:space="0" w:color="000001"/>
              <w:bottom w:val="single" w:sz="6" w:space="0" w:color="000001"/>
              <w:insideH w:val="single" w:sz="6" w:space="0" w:color="000001"/>
              <w:right w:val="single" w:sz="6" w:space="0" w:color="000001"/>
              <w:insideV w:val="single" w:sz="6" w:space="0" w:color="000001"/>
            </w:tcBorders>
            <w:shd w:fill="auto" w:val="clear"/>
            <w:tcMar>
              <w:left w:w="97" w:type="dxa"/>
            </w:tcMar>
            <w:vAlign w:val="center"/>
          </w:tcPr>
          <w:p>
            <w:pPr>
              <w:pStyle w:val="Normal"/>
              <w:tabs>
                <w:tab w:val="center" w:pos="4530" w:leader="none"/>
                <w:tab w:val="right" w:pos="9075" w:leader="none"/>
              </w:tabs>
              <w:spacing w:lineRule="auto" w:line="240" w:before="0" w:after="0"/>
              <w:ind w:left="0" w:right="-90" w:hanging="0"/>
              <w:jc w:val="center"/>
              <w:rPr>
                <w:rFonts w:cs="Calibri"/>
                <w:sz w:val="24"/>
                <w:szCs w:val="24"/>
              </w:rPr>
            </w:pPr>
            <w:r>
              <w:rPr>
                <w:rFonts w:cs="Calibri"/>
                <w:sz w:val="24"/>
                <w:szCs w:val="24"/>
              </w:rPr>
              <w:t>15 cursanţi (1 grupă)</w:t>
            </w:r>
          </w:p>
        </w:tc>
      </w:tr>
    </w:tbl>
    <w:p>
      <w:pPr>
        <w:pStyle w:val="Normal"/>
        <w:tabs>
          <w:tab w:val="center" w:pos="4320" w:leader="none"/>
          <w:tab w:val="right" w:pos="8640" w:leader="none"/>
        </w:tabs>
        <w:spacing w:lineRule="auto" w:line="240" w:before="0" w:after="0"/>
        <w:ind w:left="360" w:right="-90" w:hanging="0"/>
        <w:jc w:val="both"/>
        <w:rPr>
          <w:rFonts w:cs="Calibri" w:ascii="Times New Roman" w:hAnsi="Times New Roman"/>
          <w:b/>
          <w:bCs/>
          <w:sz w:val="24"/>
          <w:szCs w:val="24"/>
        </w:rPr>
      </w:pPr>
      <w:r>
        <w:rPr>
          <w:rFonts w:cs="Calibri" w:ascii="Times New Roman" w:hAnsi="Times New Roman"/>
          <w:b/>
          <w:bCs/>
          <w:sz w:val="24"/>
          <w:szCs w:val="24"/>
        </w:rPr>
      </w:r>
    </w:p>
    <w:p>
      <w:pPr>
        <w:pStyle w:val="Normal"/>
        <w:tabs>
          <w:tab w:val="center" w:pos="4320" w:leader="none"/>
          <w:tab w:val="right" w:pos="8640" w:leader="none"/>
        </w:tabs>
        <w:spacing w:lineRule="auto" w:line="240" w:before="0" w:after="0"/>
        <w:ind w:left="360" w:right="-90" w:hanging="0"/>
        <w:jc w:val="both"/>
        <w:rPr>
          <w:rFonts w:cs="Calibri" w:ascii="Times New Roman" w:hAnsi="Times New Roman"/>
          <w:b/>
          <w:bCs/>
          <w:sz w:val="24"/>
          <w:szCs w:val="24"/>
        </w:rPr>
      </w:pPr>
      <w:r>
        <w:rPr>
          <w:rFonts w:cs="Calibri" w:ascii="Times New Roman" w:hAnsi="Times New Roman"/>
          <w:b/>
          <w:bCs/>
          <w:sz w:val="24"/>
          <w:szCs w:val="24"/>
        </w:rPr>
      </w:r>
    </w:p>
    <w:p>
      <w:pPr>
        <w:pStyle w:val="Normal"/>
        <w:tabs>
          <w:tab w:val="center" w:pos="4320" w:leader="none"/>
          <w:tab w:val="right" w:pos="8640" w:leader="none"/>
        </w:tabs>
        <w:spacing w:lineRule="auto" w:line="240" w:before="0" w:after="0"/>
        <w:ind w:left="360" w:right="-90" w:hanging="0"/>
        <w:jc w:val="both"/>
        <w:rPr>
          <w:rFonts w:cs="Calibri" w:ascii="Times New Roman" w:hAnsi="Times New Roman"/>
          <w:b/>
          <w:bCs/>
          <w:sz w:val="24"/>
          <w:szCs w:val="24"/>
        </w:rPr>
      </w:pPr>
      <w:r>
        <w:rPr>
          <w:rFonts w:cs="Calibri" w:ascii="Times New Roman" w:hAnsi="Times New Roman"/>
          <w:b/>
          <w:bCs/>
          <w:sz w:val="24"/>
          <w:szCs w:val="24"/>
        </w:rPr>
        <w:t>CONDIŢII DE ORGANIZARE IMPUSE</w:t>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Formarea profesională se va realiza în acord cu </w:t>
      </w:r>
      <w:r>
        <w:rPr>
          <w:rFonts w:cs="Calibri" w:ascii="Times New Roman" w:hAnsi="Times New Roman"/>
          <w:b/>
          <w:bCs/>
          <w:sz w:val="24"/>
          <w:szCs w:val="24"/>
        </w:rPr>
        <w:t>programa de pregătire pe care prestatorul de formare (ofertantul) a autorizat-o A.N.C.</w:t>
      </w:r>
      <w:r>
        <w:rPr>
          <w:rFonts w:cs="Calibri" w:ascii="Times New Roman" w:hAnsi="Times New Roman"/>
          <w:sz w:val="24"/>
          <w:szCs w:val="24"/>
        </w:rPr>
        <w:t xml:space="preserve"> Organizarea pregătirii se face conform prevederilor HG 377 /2002 pentru aprobarea Procedurilor privind accesul la măsurile pentru stimularea ocupării forţei de muncă, modalităţile de finanţare şi instrucţiunile de implementare a acestora, cu modificările şi completările ulterioare, O.G. nr.129/2000 privind formarea profesională a adulţilor republicată.</w:t>
      </w:r>
    </w:p>
    <w:p>
      <w:pPr>
        <w:pStyle w:val="Normal"/>
        <w:spacing w:lineRule="auto" w:line="240" w:before="0" w:after="0"/>
        <w:ind w:left="360" w:right="0" w:hanging="0"/>
        <w:jc w:val="both"/>
        <w:rPr>
          <w:rFonts w:cs="Calibri" w:ascii="Times New Roman" w:hAnsi="Times New Roman"/>
          <w:b/>
          <w:bCs/>
          <w:sz w:val="24"/>
          <w:szCs w:val="24"/>
        </w:rPr>
      </w:pPr>
      <w:r>
        <w:rPr>
          <w:rFonts w:cs="Calibri" w:ascii="Times New Roman" w:hAnsi="Times New Roman"/>
          <w:b/>
          <w:bCs/>
          <w:sz w:val="24"/>
          <w:szCs w:val="24"/>
        </w:rPr>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sz w:val="24"/>
          <w:szCs w:val="24"/>
        </w:rPr>
        <w:t>D.G.A.S.P.C.   Ialomiţa, în  baza contractelor   de prestări   servicii,   încheiate  cu furnizorii selectaţi, solicită derularea cursurilor de calificare în meseriile/ocupaţiile conform tabelului 1.</w:t>
      </w:r>
    </w:p>
    <w:p>
      <w:pPr>
        <w:pStyle w:val="Normal"/>
        <w:spacing w:lineRule="auto" w:line="240" w:before="0" w:after="0"/>
        <w:ind w:left="360" w:right="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Furnizorii de formare profesională vor transmite către D.G.A.S.P.C. Ialomiţa, cu cel puţin 5 zile înainte de data stabilită pentru începerea cursului solicitat, următoarele documente: </w:t>
      </w:r>
    </w:p>
    <w:p>
      <w:pPr>
        <w:pStyle w:val="Normal"/>
        <w:numPr>
          <w:ilvl w:val="1"/>
          <w:numId w:val="10"/>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planul de pregătire - graficul desfăşurător; </w:t>
      </w:r>
    </w:p>
    <w:p>
      <w:pPr>
        <w:pStyle w:val="Normal"/>
        <w:numPr>
          <w:ilvl w:val="1"/>
          <w:numId w:val="10"/>
        </w:numPr>
        <w:spacing w:lineRule="auto" w:line="240" w:before="0" w:after="0"/>
        <w:jc w:val="both"/>
        <w:rPr>
          <w:rFonts w:cs="Calibri" w:ascii="Times New Roman" w:hAnsi="Times New Roman"/>
          <w:sz w:val="24"/>
          <w:szCs w:val="24"/>
        </w:rPr>
      </w:pPr>
      <w:r>
        <w:rPr>
          <w:rFonts w:cs="Calibri" w:ascii="Times New Roman" w:hAnsi="Times New Roman"/>
          <w:sz w:val="24"/>
          <w:szCs w:val="24"/>
        </w:rPr>
        <w:t>programa de pregătire şi modalităţile de evaluare a participanţilor la programul de formare profesională conform modelului prevăzut în anexa 2, respectiv în anexa 3 la Metodologia de autorizare a furnizorilor de formare profesională a adulţilor nr.353/5202/2003;</w:t>
      </w:r>
    </w:p>
    <w:p>
      <w:pPr>
        <w:pStyle w:val="Normal"/>
        <w:numPr>
          <w:ilvl w:val="1"/>
          <w:numId w:val="10"/>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copii de pe contractele în baza cărora se asigura personalul de predare/instruire sau personalul implicat în organizarea programului.  </w:t>
      </w:r>
    </w:p>
    <w:p>
      <w:pPr>
        <w:pStyle w:val="Normal"/>
        <w:numPr>
          <w:ilvl w:val="1"/>
          <w:numId w:val="10"/>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documente privind spaţiile şi dotările necesare desfăşurării pregătirii teoretice şi practice. </w:t>
      </w:r>
    </w:p>
    <w:p>
      <w:pPr>
        <w:pStyle w:val="Normal"/>
        <w:numPr>
          <w:ilvl w:val="1"/>
          <w:numId w:val="10"/>
        </w:numPr>
        <w:spacing w:lineRule="auto" w:line="240" w:before="0" w:after="0"/>
        <w:jc w:val="both"/>
        <w:rPr>
          <w:rFonts w:cs="Calibri" w:ascii="Times New Roman" w:hAnsi="Times New Roman"/>
          <w:sz w:val="24"/>
          <w:szCs w:val="24"/>
        </w:rPr>
      </w:pPr>
      <w:r>
        <w:rPr>
          <w:rFonts w:cs="Calibri" w:ascii="Times New Roman" w:hAnsi="Times New Roman"/>
          <w:sz w:val="24"/>
          <w:szCs w:val="24"/>
        </w:rPr>
        <w:t>înştiinţare cu privire la data de susţinere a examenului de absolvire.</w:t>
      </w:r>
    </w:p>
    <w:p>
      <w:pPr>
        <w:pStyle w:val="Normal"/>
        <w:spacing w:lineRule="auto" w:line="240" w:before="0" w:after="0"/>
        <w:ind w:left="1440" w:right="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7"/>
        </w:numPr>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Derularea programului de formare:</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Pregătirea teoretică şi practica se vor desfăşura conform orarului.</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Prezenta cursanţilor se urmăreşte de către formatori cu ajutorul catalogului.</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La instruirea practica efectuată la operatori economici se vor întocmi de către personalul de specialitate numit de operatorii  economici, fise de pontaj sau se utilizează alt sistem de evidenta folosit în unitate.</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Prezenta se controlează de către responsabilii de curs sau de către responsabilii cu practica din partea furnizorului de servicii de formare.</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Reprezentanţii D.G.A.S.P.C. Ialomiţa au dreptul să verifice modul de derulare al procesului de formare profesională.</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Participanţii la programul de formare profesională trebuie să respecte planul de pregătire şi graficul desfăşurător.</w:t>
      </w:r>
    </w:p>
    <w:p>
      <w:pPr>
        <w:pStyle w:val="Normal"/>
        <w:numPr>
          <w:ilvl w:val="0"/>
          <w:numId w:val="16"/>
        </w:numPr>
        <w:spacing w:lineRule="auto" w:line="240" w:before="0" w:after="0"/>
        <w:jc w:val="both"/>
        <w:rPr>
          <w:rFonts w:cs="Calibri" w:ascii="Times New Roman" w:hAnsi="Times New Roman"/>
          <w:sz w:val="24"/>
          <w:szCs w:val="24"/>
        </w:rPr>
      </w:pPr>
      <w:r>
        <w:rPr>
          <w:rFonts w:cs="Calibri" w:ascii="Times New Roman" w:hAnsi="Times New Roman"/>
          <w:sz w:val="24"/>
          <w:szCs w:val="24"/>
        </w:rPr>
        <w:t>Prestatorul de formare profesională nu poate solicita niciun fel de taxă sau tarif de participare persoanelor participante, toate costurile formării fiind incluse de prestator în oferta financiară.</w:t>
      </w:r>
    </w:p>
    <w:p>
      <w:pPr>
        <w:pStyle w:val="Normal"/>
        <w:spacing w:lineRule="auto" w:line="240" w:before="0" w:after="0"/>
        <w:ind w:left="150" w:right="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b/>
          <w:bCs/>
          <w:sz w:val="24"/>
          <w:szCs w:val="24"/>
        </w:rPr>
        <w:t>Condiţii solicitate pentru instruirea practică</w:t>
      </w:r>
      <w:r>
        <w:rPr>
          <w:rFonts w:cs="Calibri" w:ascii="Times New Roman" w:hAnsi="Times New Roman"/>
          <w:sz w:val="24"/>
          <w:szCs w:val="24"/>
        </w:rPr>
        <w:t xml:space="preserve"> ce trebuiesc asigurate de către ofertant:</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încheierea de contracte/parteneriate cu agenţii economici care asigură desfăşurarea instruirii practice  domeniul cursului</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instruirea practică poate avea loc în altă localitate decât cea care a fost stabilită pentru desfășurarea activităților de formare profesională, dar care nu poate fi situată la o distanță mai mare de  50 km de aceasta.</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locuri adecvate pentru toţi cursanţii</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asigurarea condiţiilor de protecţia muncii şi PSI pentru cursanţi, pe toată durata cursului</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în perioada instruirii cursanţii practice vor fi puşi în situaţii profesionale.</w:t>
      </w:r>
    </w:p>
    <w:p>
      <w:pPr>
        <w:pStyle w:val="Normal"/>
        <w:spacing w:before="0" w:after="195"/>
        <w:ind w:left="0" w:right="0" w:firstLine="345"/>
        <w:jc w:val="both"/>
        <w:rPr>
          <w:rFonts w:cs="Calibri" w:ascii="Times New Roman" w:hAnsi="Times New Roman"/>
          <w:sz w:val="24"/>
          <w:szCs w:val="24"/>
        </w:rPr>
      </w:pPr>
      <w:r>
        <w:rPr>
          <w:rFonts w:cs="Calibri" w:ascii="Times New Roman" w:hAnsi="Times New Roman"/>
          <w:sz w:val="24"/>
          <w:szCs w:val="24"/>
        </w:rPr>
        <w:t>În oferta tehnică vor fi prezentate detaliat condiţiile în care va fi realizată instruirea practică.</w:t>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b/>
          <w:bCs/>
          <w:sz w:val="24"/>
          <w:szCs w:val="24"/>
        </w:rPr>
        <w:t>Competenta formatorilor</w:t>
      </w:r>
      <w:r>
        <w:rPr>
          <w:rFonts w:cs="Calibri" w:ascii="Times New Roman" w:hAnsi="Times New Roman"/>
          <w:sz w:val="24"/>
          <w:szCs w:val="24"/>
        </w:rPr>
        <w:t>:</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Specializare corespunzătoare programei de teorie, respectiv programului de practică</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Curs de formator (cu excepţia cadrelor didactice)</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Personal de predare şi instruire cu o bună pregătire de specialitate şi pedagogică, precum şi experienţă în domeniu şi în procesul de formare al adulţilor. </w:t>
      </w:r>
    </w:p>
    <w:p>
      <w:pPr>
        <w:pStyle w:val="Normal"/>
        <w:spacing w:lineRule="auto" w:line="240" w:before="0" w:after="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b/>
          <w:bCs/>
          <w:sz w:val="24"/>
          <w:szCs w:val="24"/>
        </w:rPr>
        <w:t>Planul general de furnizare al serviciului</w:t>
      </w:r>
      <w:r>
        <w:rPr>
          <w:rFonts w:cs="Calibri" w:ascii="Times New Roman" w:hAnsi="Times New Roman"/>
          <w:sz w:val="24"/>
          <w:szCs w:val="24"/>
        </w:rPr>
        <w:t>:</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Cursurile de calificare vor demara la solicitarea scrisă a D.G.A.S.P.C. Ialomiţa, transmisă cu cel puţin 10 zile înainte de începerea fiecărui curs. </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Furnizorii de servicii de formare profesională autorizaţi trebuie să-şi manifeste disponibilitatea pentru începerea programului de pregătire  la data solicitată de D.G.A.S.P.C. Ialomiţa.</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Durata unui curs: 360 zile total, 120 ore de teorie / 240 ore de practică. </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Susţinerea examenului de absolvire: în maximum 15 zile calendaristice de la finalizarea pregătirii profesionale a cursanţilor. </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Data susţinerii reexaminării : în maximum 20 zile calendaristice de la data primului examen.   </w:t>
      </w:r>
    </w:p>
    <w:p>
      <w:pPr>
        <w:pStyle w:val="Normal"/>
        <w:spacing w:before="0" w:after="195"/>
        <w:ind w:left="720" w:right="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7"/>
        </w:numPr>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Evaluare şi certificare:</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Prestatorul de formare va organiza examenele de certificare a participanţilor la sesiunile de curs şi va asigura toate materialele necesare pentru examinare, conform reglementărilor legale în vigoare privind formarea profesională.</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Prestatorul de formare va elibera certificatele de calificare pentru cursanţii care au finalizat cursurile de formare cu respectarea prevederilor art. 36 din H.G. nr.522/2003, cu modificările și completările ulterioare. </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Ofertanţii trebuie să prezinte lista formatorilor pentru toate cursurile.</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Prestatorul de formare va asigura în cadrul cursurilor de formare un coordonator al activităţilor de formare și un responsabil cu execuţia contractului, cu experiență în activitate și proiecte POSDRU.</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Formatorii trebuie să aibă pregătirea şi competentele necesare pentru realizarea cursului. </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În situaţia în care, din motive independente de voinţa ofertantului, un formator se retrage, atunci acesta va trebui să fie înlocuit cu un alt formator ce deţine competente echivalente cu primul, numai în urma acceptării de către achizitor a notificării privind înlocuirea formatorului. </w:t>
      </w:r>
    </w:p>
    <w:p>
      <w:pPr>
        <w:pStyle w:val="Normal"/>
        <w:numPr>
          <w:ilvl w:val="0"/>
          <w:numId w:val="13"/>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Notificarea va conţine toate documentele solicitate prin prezentul caiet de sarcini referitoare la noul formator. </w:t>
      </w:r>
    </w:p>
    <w:p>
      <w:pPr>
        <w:pStyle w:val="Normal"/>
        <w:tabs>
          <w:tab w:val="center" w:pos="4530" w:leader="none"/>
          <w:tab w:val="right" w:pos="9075" w:leader="none"/>
        </w:tabs>
        <w:spacing w:lineRule="auto" w:line="240" w:before="0" w:after="0"/>
        <w:ind w:left="0" w:right="-90" w:hanging="0"/>
        <w:rPr>
          <w:rFonts w:cs="Calibri" w:ascii="Times New Roman" w:hAnsi="Times New Roman"/>
          <w:sz w:val="24"/>
          <w:szCs w:val="24"/>
        </w:rPr>
      </w:pPr>
      <w:r>
        <w:rPr>
          <w:rFonts w:cs="Calibri" w:ascii="Times New Roman" w:hAnsi="Times New Roman"/>
          <w:sz w:val="24"/>
          <w:szCs w:val="24"/>
        </w:rPr>
      </w:r>
    </w:p>
    <w:p>
      <w:pPr>
        <w:pStyle w:val="Normal"/>
        <w:numPr>
          <w:ilvl w:val="0"/>
          <w:numId w:val="7"/>
        </w:numPr>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Coordonarea activităţilor:</w:t>
      </w:r>
    </w:p>
    <w:p>
      <w:pPr>
        <w:pStyle w:val="Normal"/>
        <w:tabs>
          <w:tab w:val="center" w:pos="420"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tab/>
        <w:tab/>
        <w:t>Programele de formare vor fi coordonate din partea furnizorului de formare selectat de către o persoană desemnată cu îndeplinirea contractului. Acesta va menţine legătura cu achizitorul pe toată durata contractului de servicii.</w:t>
      </w:r>
    </w:p>
    <w:p>
      <w:pPr>
        <w:pStyle w:val="Normal"/>
        <w:spacing w:lineRule="auto" w:line="240" w:before="0" w:after="0"/>
        <w:ind w:left="360" w:right="0" w:hanging="0"/>
        <w:jc w:val="both"/>
        <w:rPr>
          <w:rFonts w:cs="Calibri" w:ascii="Times New Roman" w:hAnsi="Times New Roman"/>
          <w:sz w:val="24"/>
          <w:szCs w:val="24"/>
        </w:rPr>
      </w:pPr>
      <w:r>
        <w:rPr>
          <w:rFonts w:cs="Calibri" w:ascii="Times New Roman" w:hAnsi="Times New Roman"/>
          <w:sz w:val="24"/>
          <w:szCs w:val="24"/>
        </w:rPr>
        <w:t>Persoană responsabilă cu îndeplinirea contractului va avea următoarele sarcini:</w:t>
      </w:r>
    </w:p>
    <w:p>
      <w:pPr>
        <w:pStyle w:val="Normal"/>
        <w:numPr>
          <w:ilvl w:val="0"/>
          <w:numId w:val="8"/>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să menţină legătura cu reprezentanţii achizitorului care pot să vină la faţa locului ori de câte ori consideră necesar.</w:t>
      </w:r>
    </w:p>
    <w:p>
      <w:pPr>
        <w:pStyle w:val="Normal"/>
        <w:numPr>
          <w:ilvl w:val="0"/>
          <w:numId w:val="8"/>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să coordoneze activităţile de formare astfel încât acestea să fie de o calitate ridicată;</w:t>
      </w:r>
    </w:p>
    <w:p>
      <w:pPr>
        <w:pStyle w:val="Normal"/>
        <w:numPr>
          <w:ilvl w:val="0"/>
          <w:numId w:val="8"/>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să coordoneze formatorii astfel încât activităţile de formare realizate de aceştia să vizeze aceleaşi teme/activităţi de formare cu cele descrise în oferta tehnică;</w:t>
      </w:r>
    </w:p>
    <w:p>
      <w:pPr>
        <w:pStyle w:val="Normal"/>
        <w:numPr>
          <w:ilvl w:val="0"/>
          <w:numId w:val="8"/>
        </w:numPr>
        <w:tabs>
          <w:tab w:val="center" w:pos="4530" w:leader="none"/>
          <w:tab w:val="right" w:pos="9075" w:leader="none"/>
        </w:tabs>
        <w:spacing w:lineRule="auto" w:line="240" w:before="0" w:after="0"/>
        <w:ind w:left="720" w:right="-90" w:hanging="360"/>
        <w:jc w:val="both"/>
        <w:rPr>
          <w:rFonts w:cs="Calibri" w:ascii="Times New Roman" w:hAnsi="Times New Roman"/>
          <w:sz w:val="24"/>
          <w:szCs w:val="24"/>
        </w:rPr>
      </w:pPr>
      <w:r>
        <w:rPr>
          <w:rFonts w:cs="Calibri" w:ascii="Times New Roman" w:hAnsi="Times New Roman"/>
          <w:sz w:val="24"/>
          <w:szCs w:val="24"/>
        </w:rPr>
        <w:t>să furnizeze în termen de 3 zile de la finalizarea fiecărei sesiuni/grupe de formare rapoartele de evaluare complete ale programului de formare, însoţite de documentele justificative solicitate, conform procedurilor specifice programului de finanţare (cum ar fi: proces verbal de recepţie a serviciilor etc.)</w:t>
      </w:r>
    </w:p>
    <w:p>
      <w:pPr>
        <w:pStyle w:val="Normal"/>
        <w:tabs>
          <w:tab w:val="center" w:pos="4530" w:leader="none"/>
          <w:tab w:val="right" w:pos="9075" w:leader="none"/>
        </w:tabs>
        <w:spacing w:lineRule="auto" w:line="240" w:before="0" w:after="0"/>
        <w:ind w:left="0" w:right="-90" w:hanging="0"/>
        <w:rPr>
          <w:rFonts w:cs="Calibri" w:ascii="Times New Roman" w:hAnsi="Times New Roman"/>
          <w:b/>
          <w:bCs/>
          <w:sz w:val="24"/>
          <w:szCs w:val="24"/>
        </w:rPr>
      </w:pPr>
      <w:r>
        <w:rPr>
          <w:rFonts w:cs="Calibri" w:ascii="Times New Roman" w:hAnsi="Times New Roman"/>
          <w:b/>
          <w:bCs/>
          <w:sz w:val="24"/>
          <w:szCs w:val="24"/>
        </w:rPr>
      </w:r>
    </w:p>
    <w:p>
      <w:pPr>
        <w:pStyle w:val="Normal"/>
        <w:numPr>
          <w:ilvl w:val="0"/>
          <w:numId w:val="7"/>
        </w:numPr>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Cerinţe privind raportarea</w:t>
      </w:r>
    </w:p>
    <w:p>
      <w:pPr>
        <w:pStyle w:val="Normal"/>
        <w:tabs>
          <w:tab w:val="center" w:pos="705"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tab/>
        <w:tab/>
        <w:t>Furnizorul serviciilor de formare profesională va transmite rapoarte către autoritatea contractantă, în calitate de beneficiar, după cum urmează:</w:t>
      </w:r>
    </w:p>
    <w:p>
      <w:pPr>
        <w:pStyle w:val="Normal"/>
        <w:numPr>
          <w:ilvl w:val="0"/>
          <w:numId w:val="11"/>
        </w:numPr>
        <w:tabs>
          <w:tab w:val="center" w:pos="4530" w:leader="none"/>
          <w:tab w:val="right" w:pos="9075" w:leader="none"/>
        </w:tabs>
        <w:spacing w:before="0" w:after="195"/>
        <w:ind w:left="720" w:right="-90" w:hanging="360"/>
        <w:rPr>
          <w:rFonts w:cs="Calibri" w:ascii="Times New Roman" w:hAnsi="Times New Roman"/>
          <w:sz w:val="24"/>
          <w:szCs w:val="24"/>
        </w:rPr>
      </w:pPr>
      <w:r>
        <w:rPr>
          <w:rFonts w:cs="Calibri" w:ascii="Times New Roman" w:hAnsi="Times New Roman"/>
          <w:sz w:val="24"/>
          <w:szCs w:val="24"/>
        </w:rPr>
        <w:t>Rapoarte periodice, tehnice şi financiare:</w:t>
      </w:r>
    </w:p>
    <w:p>
      <w:pPr>
        <w:pStyle w:val="Normal"/>
        <w:tabs>
          <w:tab w:val="center" w:pos="4530" w:leader="none"/>
          <w:tab w:val="right" w:pos="9075" w:leader="none"/>
        </w:tabs>
        <w:spacing w:lineRule="auto" w:line="240" w:before="0" w:after="0"/>
        <w:ind w:left="720" w:right="-90" w:hanging="0"/>
        <w:jc w:val="both"/>
        <w:rPr>
          <w:rFonts w:cs="Calibri" w:ascii="Times New Roman" w:hAnsi="Times New Roman"/>
          <w:sz w:val="24"/>
          <w:szCs w:val="24"/>
        </w:rPr>
      </w:pPr>
      <w:r>
        <w:rPr>
          <w:rFonts w:cs="Calibri" w:ascii="Times New Roman" w:hAnsi="Times New Roman"/>
          <w:sz w:val="24"/>
          <w:szCs w:val="24"/>
        </w:rPr>
        <w:t>Raportare tehnică lunară, care va cuprinde date cu privire la :</w:t>
      </w:r>
    </w:p>
    <w:p>
      <w:pPr>
        <w:pStyle w:val="Normal"/>
        <w:numPr>
          <w:ilvl w:val="0"/>
          <w:numId w:val="12"/>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nota privind desfăşurarea activităţii conform programului şi orarului propus;</w:t>
      </w:r>
    </w:p>
    <w:p>
      <w:pPr>
        <w:pStyle w:val="Normal"/>
        <w:numPr>
          <w:ilvl w:val="0"/>
          <w:numId w:val="12"/>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număr participanţi, număr persoane retrase, motivele retragerii acestora.</w:t>
      </w:r>
    </w:p>
    <w:p>
      <w:pPr>
        <w:pStyle w:val="Normal"/>
        <w:tabs>
          <w:tab w:val="center" w:pos="4530" w:leader="none"/>
          <w:tab w:val="right" w:pos="9075" w:leader="none"/>
        </w:tabs>
        <w:spacing w:lineRule="auto" w:line="240" w:before="0" w:after="0"/>
        <w:ind w:left="720" w:right="-90" w:hanging="0"/>
        <w:jc w:val="both"/>
        <w:rPr>
          <w:rFonts w:cs="Calibri" w:ascii="Times New Roman" w:hAnsi="Times New Roman"/>
          <w:sz w:val="24"/>
          <w:szCs w:val="24"/>
        </w:rPr>
      </w:pPr>
      <w:r>
        <w:rPr>
          <w:rFonts w:cs="Calibri" w:ascii="Times New Roman" w:hAnsi="Times New Roman"/>
          <w:sz w:val="24"/>
          <w:szCs w:val="24"/>
        </w:rPr>
        <w:t>Furnizorul de servicii exmatriculează persoanele participante la programul de formare profesională care acumulează mai mult de 10% absenţe nemotivate din totalul orelor de pregătire şi înştiinţează autoritatea contractantă în termen de 3 zile de la data exmatriculării;</w:t>
      </w:r>
    </w:p>
    <w:p>
      <w:pPr>
        <w:pStyle w:val="Normal"/>
        <w:numPr>
          <w:ilvl w:val="0"/>
          <w:numId w:val="12"/>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problemele deosebite apărute în desfăşurarea activităţii;</w:t>
      </w:r>
    </w:p>
    <w:p>
      <w:pPr>
        <w:pStyle w:val="Normal"/>
        <w:numPr>
          <w:ilvl w:val="0"/>
          <w:numId w:val="12"/>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observaţii, concluzii;</w:t>
      </w:r>
    </w:p>
    <w:p>
      <w:pPr>
        <w:pStyle w:val="Normal"/>
        <w:numPr>
          <w:ilvl w:val="0"/>
          <w:numId w:val="12"/>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fişa de pontaj lunar privind prezenţa la program al participanţilor la curs.</w:t>
      </w:r>
    </w:p>
    <w:p>
      <w:pPr>
        <w:pStyle w:val="Normal"/>
        <w:tabs>
          <w:tab w:val="center" w:pos="4530" w:leader="none"/>
          <w:tab w:val="right" w:pos="9075" w:leader="none"/>
        </w:tabs>
        <w:spacing w:lineRule="auto" w:line="240" w:before="0" w:after="0"/>
        <w:ind w:left="720" w:right="-90" w:hanging="0"/>
        <w:jc w:val="both"/>
        <w:rPr>
          <w:rFonts w:cs="Calibri" w:ascii="Times New Roman" w:hAnsi="Times New Roman"/>
          <w:sz w:val="24"/>
          <w:szCs w:val="24"/>
        </w:rPr>
      </w:pPr>
      <w:r>
        <w:rPr>
          <w:rFonts w:cs="Calibri" w:ascii="Times New Roman" w:hAnsi="Times New Roman"/>
          <w:sz w:val="24"/>
          <w:szCs w:val="24"/>
        </w:rPr>
        <w:t>Raportare financiară lunară, care va cuprinde :</w:t>
      </w:r>
    </w:p>
    <w:p>
      <w:pPr>
        <w:pStyle w:val="Normal"/>
        <w:numPr>
          <w:ilvl w:val="1"/>
          <w:numId w:val="12"/>
        </w:numPr>
        <w:tabs>
          <w:tab w:val="center" w:pos="4530" w:leader="none"/>
          <w:tab w:val="right" w:pos="9075" w:leader="none"/>
        </w:tabs>
        <w:spacing w:lineRule="auto" w:line="240" w:before="0" w:after="0"/>
        <w:ind w:left="2145" w:right="-90" w:hanging="360"/>
        <w:jc w:val="both"/>
        <w:rPr>
          <w:rFonts w:cs="Calibri" w:ascii="Times New Roman" w:hAnsi="Times New Roman"/>
          <w:sz w:val="24"/>
          <w:szCs w:val="24"/>
        </w:rPr>
      </w:pPr>
      <w:r>
        <w:rPr>
          <w:rFonts w:cs="Calibri" w:ascii="Times New Roman" w:hAnsi="Times New Roman"/>
          <w:sz w:val="24"/>
          <w:szCs w:val="24"/>
        </w:rPr>
        <w:t>Adresa de solicitare a 70% din valoarea contractului pentru lună încheiată din care să rezulte aplicarea formulei stabilite prin clauzele contractuale;</w:t>
      </w:r>
    </w:p>
    <w:p>
      <w:pPr>
        <w:pStyle w:val="Normal"/>
        <w:numPr>
          <w:ilvl w:val="1"/>
          <w:numId w:val="12"/>
        </w:numPr>
        <w:tabs>
          <w:tab w:val="center" w:pos="4530" w:leader="none"/>
          <w:tab w:val="right" w:pos="9075" w:leader="none"/>
        </w:tabs>
        <w:spacing w:lineRule="auto" w:line="240" w:before="0" w:after="0"/>
        <w:ind w:left="2145" w:right="-90" w:hanging="360"/>
        <w:jc w:val="both"/>
        <w:rPr>
          <w:rFonts w:cs="Calibri" w:ascii="Times New Roman" w:hAnsi="Times New Roman"/>
          <w:sz w:val="24"/>
          <w:szCs w:val="24"/>
        </w:rPr>
      </w:pPr>
      <w:r>
        <w:rPr>
          <w:rFonts w:cs="Calibri" w:ascii="Times New Roman" w:hAnsi="Times New Roman"/>
          <w:sz w:val="24"/>
          <w:szCs w:val="24"/>
        </w:rPr>
        <w:t>Factura;</w:t>
      </w:r>
    </w:p>
    <w:p>
      <w:pPr>
        <w:pStyle w:val="Normal"/>
        <w:numPr>
          <w:ilvl w:val="1"/>
          <w:numId w:val="12"/>
        </w:numPr>
        <w:tabs>
          <w:tab w:val="center" w:pos="4530" w:leader="none"/>
          <w:tab w:val="right" w:pos="9075" w:leader="none"/>
        </w:tabs>
        <w:spacing w:lineRule="auto" w:line="240" w:before="0" w:after="0"/>
        <w:ind w:left="2145" w:right="-90" w:hanging="360"/>
        <w:jc w:val="both"/>
        <w:rPr>
          <w:rFonts w:cs="Calibri" w:ascii="Times New Roman" w:hAnsi="Times New Roman"/>
          <w:sz w:val="24"/>
          <w:szCs w:val="24"/>
        </w:rPr>
      </w:pPr>
      <w:r>
        <w:rPr>
          <w:rFonts w:cs="Calibri" w:ascii="Times New Roman" w:hAnsi="Times New Roman"/>
          <w:sz w:val="24"/>
          <w:szCs w:val="24"/>
        </w:rPr>
        <w:t>Rapoartele lunare se depun până la data de 25 a lunii următoare, în vederea efectuării decontului lunar.</w:t>
      </w:r>
    </w:p>
    <w:p>
      <w:pPr>
        <w:pStyle w:val="Normal"/>
        <w:tabs>
          <w:tab w:val="center" w:pos="4530" w:leader="none"/>
          <w:tab w:val="right" w:pos="9075" w:leader="none"/>
        </w:tabs>
        <w:spacing w:lineRule="auto" w:line="240" w:before="0" w:after="0"/>
        <w:ind w:left="720" w:right="-9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11"/>
        </w:numPr>
        <w:tabs>
          <w:tab w:val="center" w:pos="4530" w:leader="none"/>
          <w:tab w:val="right" w:pos="9075" w:leader="none"/>
        </w:tabs>
        <w:spacing w:before="0" w:after="195"/>
        <w:ind w:left="720" w:right="-90" w:hanging="360"/>
        <w:rPr>
          <w:rFonts w:cs="Calibri" w:ascii="Times New Roman" w:hAnsi="Times New Roman"/>
          <w:sz w:val="24"/>
          <w:szCs w:val="24"/>
        </w:rPr>
      </w:pPr>
      <w:r>
        <w:rPr>
          <w:rFonts w:cs="Calibri" w:ascii="Times New Roman" w:hAnsi="Times New Roman"/>
          <w:sz w:val="24"/>
          <w:szCs w:val="24"/>
        </w:rPr>
        <w:t>Raport final, tehnic şi financiar:</w:t>
      </w:r>
    </w:p>
    <w:p>
      <w:pPr>
        <w:pStyle w:val="Normal"/>
        <w:tabs>
          <w:tab w:val="center" w:pos="4530" w:leader="none"/>
          <w:tab w:val="right" w:pos="9075" w:leader="none"/>
        </w:tabs>
        <w:spacing w:before="0" w:after="195"/>
        <w:ind w:left="720" w:right="-90" w:hanging="0"/>
        <w:rPr>
          <w:rFonts w:cs="Calibri" w:ascii="Times New Roman" w:hAnsi="Times New Roman"/>
          <w:sz w:val="24"/>
          <w:szCs w:val="24"/>
        </w:rPr>
      </w:pPr>
      <w:r>
        <w:rPr>
          <w:rFonts w:cs="Calibri" w:ascii="Times New Roman" w:hAnsi="Times New Roman"/>
          <w:sz w:val="24"/>
          <w:szCs w:val="24"/>
        </w:rPr>
        <w:t xml:space="preserve">Raport tehnic final cuprinzând informaţii despre serviciile prestate de către prestator în cadrul contractului de servicii de formare, care va cuprinde: </w:t>
      </w:r>
    </w:p>
    <w:p>
      <w:pPr>
        <w:pStyle w:val="Normal"/>
        <w:numPr>
          <w:ilvl w:val="1"/>
          <w:numId w:val="11"/>
        </w:numPr>
        <w:tabs>
          <w:tab w:val="center" w:pos="4530" w:leader="none"/>
          <w:tab w:val="right" w:pos="9075" w:leader="none"/>
        </w:tabs>
        <w:spacing w:lineRule="auto" w:line="240" w:before="0" w:after="0"/>
        <w:ind w:left="1440" w:right="-90" w:hanging="360"/>
        <w:rPr>
          <w:rFonts w:cs="Calibri" w:ascii="Times New Roman" w:hAnsi="Times New Roman"/>
          <w:sz w:val="24"/>
          <w:szCs w:val="24"/>
        </w:rPr>
      </w:pPr>
      <w:r>
        <w:rPr>
          <w:rFonts w:cs="Calibri" w:ascii="Times New Roman" w:hAnsi="Times New Roman"/>
          <w:sz w:val="24"/>
          <w:szCs w:val="24"/>
        </w:rPr>
        <w:t>nota privind desfăşurarea activităţii conform programului şi orarului propus </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 xml:space="preserve">număr participanţi, număr persoane retrase, motivele retragerii acestora. </w:t>
      </w:r>
    </w:p>
    <w:p>
      <w:pPr>
        <w:pStyle w:val="Normal"/>
        <w:tabs>
          <w:tab w:val="center" w:pos="4530" w:leader="none"/>
          <w:tab w:val="right" w:pos="9075" w:leader="none"/>
        </w:tabs>
        <w:spacing w:lineRule="auto" w:line="240" w:before="0" w:after="0"/>
        <w:ind w:left="1440" w:right="-90" w:hanging="0"/>
        <w:jc w:val="both"/>
        <w:rPr>
          <w:rFonts w:cs="Calibri" w:ascii="Times New Roman" w:hAnsi="Times New Roman"/>
          <w:sz w:val="24"/>
          <w:szCs w:val="24"/>
        </w:rPr>
      </w:pPr>
      <w:r>
        <w:rPr>
          <w:rFonts w:cs="Calibri" w:ascii="Times New Roman" w:hAnsi="Times New Roman"/>
          <w:sz w:val="24"/>
          <w:szCs w:val="24"/>
        </w:rPr>
        <w:t>Furnizorul de servicii exmatriculează persoanele participante la programul de formare profesională care acumulează mai mult de 10% absenţe nemotivate din totalul orelor de pregătire şi înştiinţează autoritatea contractantă în termen de 3 zile de la data exmatriculării;</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problemele deosebite apărute în desfăşurarea activităţii;</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observaţii, concluzii;</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 xml:space="preserve">copie de pe catalogul participanţilor; </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copie de pe catalogul cu rezultatele examenului de absolvire al programului de formare profesională;</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copie de pe procesul verbal de absolvire al programului de formare profesională;</w:t>
      </w:r>
    </w:p>
    <w:p>
      <w:pPr>
        <w:pStyle w:val="Normal"/>
        <w:numPr>
          <w:ilvl w:val="1"/>
          <w:numId w:val="11"/>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copie de pe fişa de pontaj a cursanţilor pentru ultima lună de curs.</w:t>
      </w:r>
    </w:p>
    <w:p>
      <w:pPr>
        <w:pStyle w:val="Normal"/>
        <w:tabs>
          <w:tab w:val="center" w:pos="4530" w:leader="none"/>
          <w:tab w:val="right" w:pos="9075" w:leader="none"/>
        </w:tabs>
        <w:spacing w:lineRule="auto" w:line="240" w:before="0" w:after="0"/>
        <w:ind w:left="720" w:right="-90" w:hanging="0"/>
        <w:jc w:val="both"/>
        <w:rPr>
          <w:rFonts w:cs="Calibri" w:ascii="Times New Roman" w:hAnsi="Times New Roman"/>
          <w:sz w:val="24"/>
          <w:szCs w:val="24"/>
        </w:rPr>
      </w:pPr>
      <w:r>
        <w:rPr>
          <w:rFonts w:cs="Calibri" w:ascii="Times New Roman" w:hAnsi="Times New Roman"/>
          <w:sz w:val="24"/>
          <w:szCs w:val="24"/>
        </w:rPr>
        <w:t>Raportul financiar final, care va cuprinde :</w:t>
      </w:r>
    </w:p>
    <w:p>
      <w:pPr>
        <w:pStyle w:val="Normal"/>
        <w:numPr>
          <w:ilvl w:val="0"/>
          <w:numId w:val="12"/>
        </w:numPr>
        <w:tabs>
          <w:tab w:val="center" w:pos="4530" w:leader="none"/>
          <w:tab w:val="right" w:pos="9075" w:leader="none"/>
        </w:tabs>
        <w:spacing w:lineRule="auto" w:line="240" w:before="0" w:after="0"/>
        <w:ind w:left="1440" w:right="-90" w:hanging="360"/>
        <w:jc w:val="both"/>
        <w:rPr>
          <w:rFonts w:cs="Calibri" w:ascii="Times New Roman" w:hAnsi="Times New Roman"/>
          <w:sz w:val="24"/>
          <w:szCs w:val="24"/>
        </w:rPr>
      </w:pPr>
      <w:r>
        <w:rPr>
          <w:rFonts w:cs="Calibri" w:ascii="Times New Roman" w:hAnsi="Times New Roman"/>
          <w:sz w:val="24"/>
          <w:szCs w:val="24"/>
        </w:rPr>
        <w:t xml:space="preserve">acte justificative pentru decontarea finală: </w:t>
      </w:r>
    </w:p>
    <w:p>
      <w:pPr>
        <w:pStyle w:val="Normal"/>
        <w:numPr>
          <w:ilvl w:val="1"/>
          <w:numId w:val="12"/>
        </w:numPr>
        <w:tabs>
          <w:tab w:val="center" w:pos="4530" w:leader="none"/>
          <w:tab w:val="right" w:pos="9075" w:leader="none"/>
        </w:tabs>
        <w:spacing w:lineRule="auto" w:line="240" w:before="0" w:after="0"/>
        <w:ind w:left="2145" w:right="-90" w:hanging="360"/>
        <w:jc w:val="both"/>
        <w:rPr>
          <w:rFonts w:cs="Calibri" w:ascii="Times New Roman" w:hAnsi="Times New Roman"/>
          <w:sz w:val="24"/>
          <w:szCs w:val="24"/>
        </w:rPr>
      </w:pPr>
      <w:r>
        <w:rPr>
          <w:rFonts w:cs="Calibri" w:ascii="Times New Roman" w:hAnsi="Times New Roman"/>
          <w:sz w:val="24"/>
          <w:szCs w:val="24"/>
        </w:rPr>
        <w:t>o centralizare a documentelor prezentate şi decontate anterior.</w:t>
      </w:r>
    </w:p>
    <w:p>
      <w:pPr>
        <w:pStyle w:val="Normal"/>
        <w:numPr>
          <w:ilvl w:val="1"/>
          <w:numId w:val="12"/>
        </w:numPr>
        <w:tabs>
          <w:tab w:val="center" w:pos="4530" w:leader="none"/>
          <w:tab w:val="right" w:pos="9075" w:leader="none"/>
        </w:tabs>
        <w:spacing w:lineRule="auto" w:line="240" w:before="0" w:after="0"/>
        <w:ind w:left="2145" w:right="-90" w:hanging="360"/>
        <w:jc w:val="both"/>
        <w:rPr>
          <w:rFonts w:cs="Calibri" w:ascii="Times New Roman" w:hAnsi="Times New Roman"/>
          <w:sz w:val="24"/>
          <w:szCs w:val="24"/>
        </w:rPr>
      </w:pPr>
      <w:r>
        <w:rPr>
          <w:rFonts w:cs="Calibri" w:ascii="Times New Roman" w:hAnsi="Times New Roman"/>
          <w:sz w:val="24"/>
          <w:szCs w:val="24"/>
        </w:rPr>
        <w:t>adresa de solicitare a efectuării plăţii finale din care să rezulte aplicarea formulei stabilite prin prevederile contractuale;</w:t>
      </w:r>
    </w:p>
    <w:p>
      <w:pPr>
        <w:pStyle w:val="Normal"/>
        <w:numPr>
          <w:ilvl w:val="1"/>
          <w:numId w:val="12"/>
        </w:numPr>
        <w:tabs>
          <w:tab w:val="center" w:pos="4530" w:leader="none"/>
          <w:tab w:val="right" w:pos="9075" w:leader="none"/>
        </w:tabs>
        <w:spacing w:lineRule="auto" w:line="240" w:before="0" w:after="0"/>
        <w:ind w:left="2145" w:right="-90" w:hanging="360"/>
        <w:jc w:val="both"/>
        <w:rPr>
          <w:rFonts w:cs="Calibri" w:ascii="Times New Roman" w:hAnsi="Times New Roman"/>
          <w:sz w:val="24"/>
          <w:szCs w:val="24"/>
        </w:rPr>
      </w:pPr>
      <w:r>
        <w:rPr>
          <w:rFonts w:cs="Calibri" w:ascii="Times New Roman" w:hAnsi="Times New Roman"/>
          <w:sz w:val="24"/>
          <w:szCs w:val="24"/>
        </w:rPr>
        <w:t>factura.</w:t>
      </w:r>
    </w:p>
    <w:p>
      <w:pPr>
        <w:pStyle w:val="Normal"/>
        <w:tabs>
          <w:tab w:val="center" w:pos="4530" w:leader="none"/>
          <w:tab w:val="right" w:pos="9075" w:leader="none"/>
        </w:tabs>
        <w:spacing w:lineRule="auto" w:line="240" w:before="0" w:after="0"/>
        <w:ind w:left="135" w:right="-90" w:firstLine="585"/>
        <w:jc w:val="both"/>
        <w:rPr>
          <w:rFonts w:cs="Calibri" w:ascii="Times New Roman" w:hAnsi="Times New Roman"/>
          <w:b/>
          <w:bCs/>
          <w:sz w:val="24"/>
          <w:szCs w:val="24"/>
        </w:rPr>
      </w:pPr>
      <w:r>
        <w:rPr>
          <w:rFonts w:cs="Calibri" w:ascii="Times New Roman" w:hAnsi="Times New Roman"/>
          <w:sz w:val="24"/>
          <w:szCs w:val="24"/>
        </w:rPr>
        <w:tab/>
        <w:t xml:space="preserve"> În termen de maximum 30 zile de la data la care o grupă finalizează programul de formare, prestatorul va întocmi dosarul de finalizare a programului</w:t>
      </w:r>
      <w:r>
        <w:rPr>
          <w:rFonts w:cs="Calibri" w:ascii="Times New Roman" w:hAnsi="Times New Roman"/>
          <w:b/>
          <w:bCs/>
          <w:sz w:val="24"/>
          <w:szCs w:val="24"/>
        </w:rPr>
        <w:t>.</w:t>
      </w:r>
    </w:p>
    <w:p>
      <w:pPr>
        <w:pStyle w:val="Normal"/>
        <w:tabs>
          <w:tab w:val="center" w:pos="4530" w:leader="none"/>
          <w:tab w:val="right" w:pos="9075" w:leader="none"/>
        </w:tabs>
        <w:spacing w:lineRule="auto" w:line="240" w:before="0" w:after="0"/>
        <w:ind w:left="0" w:right="-90" w:hanging="0"/>
        <w:rPr>
          <w:rFonts w:cs="Calibri" w:ascii="Times New Roman" w:hAnsi="Times New Roman"/>
          <w:b/>
          <w:bCs/>
          <w:sz w:val="24"/>
          <w:szCs w:val="24"/>
        </w:rPr>
      </w:pPr>
      <w:r>
        <w:rPr>
          <w:rFonts w:cs="Calibri" w:ascii="Times New Roman" w:hAnsi="Times New Roman"/>
          <w:b/>
          <w:bCs/>
          <w:sz w:val="24"/>
          <w:szCs w:val="24"/>
        </w:rPr>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b/>
          <w:bCs/>
          <w:sz w:val="24"/>
          <w:szCs w:val="24"/>
        </w:rPr>
        <w:t xml:space="preserve">Procesul verbal de recepţionare a serviciilor </w:t>
      </w:r>
      <w:r>
        <w:rPr>
          <w:rFonts w:cs="Calibri" w:ascii="Times New Roman" w:hAnsi="Times New Roman"/>
          <w:sz w:val="24"/>
          <w:szCs w:val="24"/>
        </w:rPr>
        <w:t>va avea anexate următoarele documente aferente fiecărei sesiuni de curs în parte:</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Raport lunar de activitate;</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Orarul de desfăşurare a cursului;</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Tematica curs (agenda cursului);</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Lista de prezenţă a participanţilor cu semnăturile lor pentru fiecare zi de curs – în original, care include şi Fisa colectivă de prezenţa cursanţi – în original;</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Condica prezenta formator – în original;</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Copii ale documentelor de examen (Catalog final cu notele obţinute la examen; Proces Verbal întocmit de comisia de examinare etc – în copie;</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Copiile certificatelor ANC eliberate şi a cotoarelor corespunzătoare;</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Copie Proces verbal centralizator de predare primire a certificatelor către absolvenţii de formare profesională;</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Lista de predare a materialelor;</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Declaraţie pe propria răspundere emisă de furnizorul de formare prin care se certifica autenticitatea documentelor şi a conţinutul acestora precum şi asumarea răspunderii păstrării în condiţii optime a dosarelor de formare profesională până la data de 31.12.2021</w:t>
      </w:r>
    </w:p>
    <w:p>
      <w:pPr>
        <w:pStyle w:val="Normal"/>
        <w:numPr>
          <w:ilvl w:val="0"/>
          <w:numId w:val="14"/>
        </w:numPr>
        <w:tabs>
          <w:tab w:val="center" w:pos="4530" w:leader="none"/>
          <w:tab w:val="right" w:pos="9075" w:leader="none"/>
        </w:tabs>
        <w:spacing w:lineRule="auto" w:line="240" w:before="0" w:after="0"/>
        <w:ind w:left="720" w:right="-90" w:hanging="360"/>
        <w:rPr>
          <w:rFonts w:cs="Calibri" w:ascii="Times New Roman" w:hAnsi="Times New Roman"/>
          <w:sz w:val="24"/>
          <w:szCs w:val="24"/>
        </w:rPr>
      </w:pPr>
      <w:r>
        <w:rPr>
          <w:rFonts w:cs="Calibri" w:ascii="Times New Roman" w:hAnsi="Times New Roman"/>
          <w:sz w:val="24"/>
          <w:szCs w:val="24"/>
        </w:rPr>
        <w:t>Orice alt document pe care achizitorul îl va solicita pe parcursul derulării contractului.</w:t>
      </w:r>
    </w:p>
    <w:p>
      <w:pPr>
        <w:pStyle w:val="Normal"/>
        <w:tabs>
          <w:tab w:val="left" w:pos="420" w:leader="none"/>
          <w:tab w:val="left" w:pos="705" w:leader="none"/>
        </w:tabs>
        <w:spacing w:lineRule="auto" w:line="240" w:before="0" w:after="0"/>
        <w:ind w:left="0" w:right="-90" w:hanging="0"/>
        <w:rPr>
          <w:rFonts w:cs="Calibri" w:ascii="Times New Roman" w:hAnsi="Times New Roman"/>
          <w:b/>
          <w:bCs/>
          <w:sz w:val="24"/>
          <w:szCs w:val="24"/>
        </w:rPr>
      </w:pPr>
      <w:r>
        <w:rPr>
          <w:rFonts w:cs="Calibri" w:ascii="Times New Roman" w:hAnsi="Times New Roman"/>
          <w:b/>
          <w:bCs/>
          <w:sz w:val="24"/>
          <w:szCs w:val="24"/>
        </w:rPr>
        <w:tab/>
      </w:r>
    </w:p>
    <w:p>
      <w:pPr>
        <w:pStyle w:val="Normal"/>
        <w:numPr>
          <w:ilvl w:val="0"/>
          <w:numId w:val="7"/>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 </w:t>
      </w:r>
      <w:r>
        <w:rPr>
          <w:rFonts w:cs="Calibri" w:ascii="Times New Roman" w:hAnsi="Times New Roman"/>
          <w:b/>
          <w:bCs/>
          <w:sz w:val="24"/>
          <w:szCs w:val="24"/>
        </w:rPr>
        <w:t>Contracte cu participanţii şi transmiterea certificatelor</w:t>
      </w:r>
      <w:r>
        <w:rPr>
          <w:rFonts w:cs="Calibri" w:ascii="Times New Roman" w:hAnsi="Times New Roman"/>
          <w:sz w:val="24"/>
          <w:szCs w:val="24"/>
        </w:rPr>
        <w:t>.</w:t>
      </w:r>
    </w:p>
    <w:p>
      <w:pPr>
        <w:pStyle w:val="Normal"/>
        <w:tabs>
          <w:tab w:val="center" w:pos="705"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tab/>
        <w:tab/>
        <w:t xml:space="preserve">Prestatorul de formare va încheia contracte de formare profesională cu fiecare cursant în parte, conform art. 9 din Hotărârea Guvernului nr. 522/2003 pentru aprobarea Normelor metodologice de aplicare a prevederilor Ordonanţei Guvernului nr. 129/2000 privind formarea profesională a adulţilor republicata şi Anexei 2 la aceeaşi Hotărâre. </w:t>
      </w:r>
    </w:p>
    <w:p>
      <w:pPr>
        <w:pStyle w:val="Normal"/>
        <w:tabs>
          <w:tab w:val="center" w:pos="705"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tab/>
      </w:r>
      <w:r>
        <w:rPr>
          <w:rFonts w:cs="Calibri" w:ascii="Times New Roman" w:hAnsi="Times New Roman"/>
          <w:b/>
          <w:bCs/>
          <w:sz w:val="24"/>
          <w:szCs w:val="24"/>
        </w:rPr>
        <w:tab/>
        <w:t>Prestatorul va transmite către Achizitor în cel mai scurt timp posibil copii ale certificatelor de calificare cu recunoaştere naţională pentru toţi participanţii la programele de formare care trec cu succes examenul final precum şi dovada că aceştia au intrat în posesia acestor certificate</w:t>
      </w:r>
      <w:r>
        <w:rPr>
          <w:rFonts w:cs="Calibri" w:ascii="Times New Roman" w:hAnsi="Times New Roman"/>
          <w:sz w:val="24"/>
          <w:szCs w:val="24"/>
        </w:rPr>
        <w:t>.</w:t>
      </w:r>
    </w:p>
    <w:p>
      <w:pPr>
        <w:pStyle w:val="Normal"/>
        <w:tabs>
          <w:tab w:val="center" w:pos="705" w:leader="none"/>
          <w:tab w:val="right" w:pos="9075" w:leader="none"/>
        </w:tabs>
        <w:spacing w:lineRule="auto" w:line="240" w:before="0" w:after="0"/>
        <w:ind w:left="0" w:right="-90" w:hanging="0"/>
        <w:jc w:val="both"/>
        <w:rPr>
          <w:rFonts w:cs="Calibri" w:ascii="Times New Roman" w:hAnsi="Times New Roman"/>
          <w:sz w:val="24"/>
          <w:szCs w:val="24"/>
        </w:rPr>
      </w:pPr>
      <w:r>
        <w:rPr>
          <w:rFonts w:cs="Calibri" w:ascii="Times New Roman" w:hAnsi="Times New Roman"/>
          <w:sz w:val="24"/>
          <w:szCs w:val="24"/>
        </w:rPr>
        <w:tab/>
        <w:tab/>
        <w:t>Certificatele de calificare vor fi însoţite de o anexă în care se vor preciza competentele profesionale dobândite de cursanţi. Certificatul va fi recunoscut de Ministerul Muncii, Familiei, Protecţiei Sociale şi Persoanelor Vârstnice și Ministerul Educaţiei Naționale şi va fi în conformitate cu prevederile Ordonanței Guvernului nr. 129/2000 privind formarea profesională a adulților, republicată.</w:t>
      </w:r>
    </w:p>
    <w:p>
      <w:pPr>
        <w:pStyle w:val="Normal"/>
        <w:tabs>
          <w:tab w:val="center" w:pos="4530" w:leader="none"/>
          <w:tab w:val="right" w:pos="9075" w:leader="none"/>
        </w:tabs>
        <w:spacing w:lineRule="auto" w:line="240" w:before="0" w:after="0"/>
        <w:ind w:left="0" w:right="-90" w:hanging="0"/>
        <w:rPr>
          <w:rFonts w:cs="Calibri" w:ascii="Times New Roman" w:hAnsi="Times New Roman"/>
          <w:b/>
          <w:bCs/>
          <w:sz w:val="24"/>
          <w:szCs w:val="24"/>
        </w:rPr>
      </w:pPr>
      <w:r>
        <w:rPr>
          <w:rFonts w:cs="Calibri" w:ascii="Times New Roman" w:hAnsi="Times New Roman"/>
          <w:b/>
          <w:bCs/>
          <w:sz w:val="24"/>
          <w:szCs w:val="24"/>
        </w:rPr>
      </w:r>
    </w:p>
    <w:p>
      <w:pPr>
        <w:pStyle w:val="Normal"/>
        <w:numPr>
          <w:ilvl w:val="0"/>
          <w:numId w:val="7"/>
        </w:numPr>
        <w:spacing w:lineRule="auto" w:line="240" w:before="0" w:after="0"/>
        <w:jc w:val="both"/>
        <w:rPr>
          <w:rFonts w:cs="Calibri" w:ascii="Times New Roman" w:hAnsi="Times New Roman"/>
          <w:b/>
          <w:bCs/>
          <w:sz w:val="24"/>
          <w:szCs w:val="24"/>
        </w:rPr>
      </w:pPr>
      <w:r>
        <w:rPr>
          <w:rFonts w:cs="Calibri" w:ascii="Times New Roman" w:hAnsi="Times New Roman"/>
          <w:b/>
          <w:bCs/>
          <w:sz w:val="24"/>
          <w:szCs w:val="24"/>
        </w:rPr>
        <w:t>Alte prevederi</w:t>
      </w:r>
    </w:p>
    <w:p>
      <w:pPr>
        <w:pStyle w:val="Normal"/>
        <w:tabs>
          <w:tab w:val="center" w:pos="4530" w:leader="none"/>
          <w:tab w:val="right" w:pos="9075" w:leader="none"/>
        </w:tabs>
        <w:spacing w:lineRule="auto" w:line="240" w:before="0" w:after="0"/>
        <w:ind w:left="0" w:right="-90" w:firstLine="705"/>
        <w:rPr>
          <w:rFonts w:cs="Calibri" w:ascii="Times New Roman" w:hAnsi="Times New Roman"/>
          <w:sz w:val="24"/>
          <w:szCs w:val="24"/>
        </w:rPr>
      </w:pPr>
      <w:r>
        <w:rPr>
          <w:rFonts w:cs="Calibri" w:ascii="Times New Roman" w:hAnsi="Times New Roman"/>
          <w:sz w:val="24"/>
          <w:szCs w:val="24"/>
        </w:rPr>
        <w:tab/>
        <w:t>Prestatorul de formare trebuie să accepte vizite neanunţate ale reprezentanţilor achizitorului care verifică modul de implementare a contractului.</w:t>
      </w:r>
    </w:p>
    <w:p>
      <w:pPr>
        <w:pStyle w:val="Normal"/>
        <w:tabs>
          <w:tab w:val="center" w:pos="4530" w:leader="none"/>
          <w:tab w:val="right" w:pos="9075" w:leader="none"/>
        </w:tabs>
        <w:spacing w:lineRule="auto" w:line="240" w:before="0" w:after="0"/>
        <w:ind w:left="0" w:right="-90" w:firstLine="705"/>
        <w:rPr>
          <w:rFonts w:cs="Calibri" w:ascii="Times New Roman" w:hAnsi="Times New Roman"/>
          <w:sz w:val="24"/>
          <w:szCs w:val="24"/>
        </w:rPr>
      </w:pPr>
      <w:r>
        <w:rPr>
          <w:rFonts w:cs="Calibri" w:ascii="Times New Roman" w:hAnsi="Times New Roman"/>
          <w:sz w:val="24"/>
          <w:szCs w:val="24"/>
        </w:rPr>
      </w:r>
    </w:p>
    <w:p>
      <w:pPr>
        <w:pStyle w:val="Normal"/>
        <w:spacing w:lineRule="auto" w:line="240" w:before="0" w:after="0"/>
        <w:ind w:left="360" w:right="0" w:hanging="0"/>
        <w:jc w:val="both"/>
        <w:rPr>
          <w:rFonts w:cs="Calibri" w:ascii="Times New Roman" w:hAnsi="Times New Roman"/>
          <w:b/>
          <w:bCs/>
          <w:sz w:val="24"/>
          <w:szCs w:val="24"/>
        </w:rPr>
      </w:pPr>
      <w:r>
        <w:rPr>
          <w:rFonts w:cs="Calibri" w:ascii="Times New Roman" w:hAnsi="Times New Roman"/>
          <w:b/>
          <w:bCs/>
          <w:sz w:val="24"/>
          <w:szCs w:val="24"/>
        </w:rPr>
        <w:t>MODUL DE ELABORARE ŞI PREZENTARE A OFERTEI TEHNICE</w:t>
      </w:r>
    </w:p>
    <w:p>
      <w:pPr>
        <w:pStyle w:val="Normal"/>
        <w:tabs>
          <w:tab w:val="center" w:pos="4320" w:leader="none"/>
          <w:tab w:val="right" w:pos="8640" w:leader="none"/>
        </w:tabs>
        <w:spacing w:lineRule="auto" w:line="240" w:before="0" w:after="0"/>
        <w:ind w:left="1080" w:right="-90" w:hanging="0"/>
        <w:jc w:val="both"/>
        <w:rPr>
          <w:rFonts w:cs="Calibri" w:ascii="Times New Roman" w:hAnsi="Times New Roman"/>
          <w:sz w:val="24"/>
          <w:szCs w:val="24"/>
        </w:rPr>
      </w:pPr>
      <w:r>
        <w:rPr>
          <w:rFonts w:cs="Calibri" w:ascii="Times New Roman" w:hAnsi="Times New Roman"/>
          <w:sz w:val="24"/>
          <w:szCs w:val="24"/>
        </w:rPr>
      </w:r>
    </w:p>
    <w:p>
      <w:pPr>
        <w:pStyle w:val="Normal"/>
        <w:numPr>
          <w:ilvl w:val="0"/>
          <w:numId w:val="9"/>
        </w:numPr>
        <w:spacing w:lineRule="auto" w:line="240" w:before="0" w:after="0"/>
        <w:jc w:val="both"/>
        <w:rPr>
          <w:rFonts w:cs="Calibri" w:ascii="Times New Roman" w:hAnsi="Times New Roman"/>
          <w:sz w:val="24"/>
          <w:szCs w:val="24"/>
        </w:rPr>
      </w:pPr>
      <w:r>
        <w:rPr>
          <w:rFonts w:cs="Calibri" w:ascii="Times New Roman" w:hAnsi="Times New Roman"/>
          <w:sz w:val="24"/>
          <w:szCs w:val="24"/>
        </w:rPr>
        <w:t>Oferta tehnică va fi întocmită conform formularului Propunere tehnică.</w:t>
      </w:r>
    </w:p>
    <w:p>
      <w:pPr>
        <w:pStyle w:val="Normal"/>
        <w:numPr>
          <w:ilvl w:val="0"/>
          <w:numId w:val="9"/>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 </w:t>
      </w:r>
      <w:r>
        <w:rPr>
          <w:rFonts w:cs="Calibri" w:ascii="Times New Roman" w:hAnsi="Times New Roman"/>
          <w:sz w:val="24"/>
          <w:szCs w:val="24"/>
        </w:rPr>
        <w:t>Documente care însoţesc oferta tehnică:</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lista formatorilor care vor participa la desfăşurarea programului de formare profesională şi care vor asigura pregătirea teoretică şi instruirea practică, pe discipline şi număr ore de efectuat, pentru meseria solicitată;</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CV-ul fiecărui formator, în care să se detalieze experienţa în specialitatea corespunzătoare programului de formare ; </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acordul scris al fiecărui formator pentru participarea la programul de formare profesională în meseria solicitată;</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diplomele şi certificate ale formatorilor din care să reiasă că deţin specializările cerute de programul de formare (copii) ;</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actele de identitate ale formatorilor (copii);</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 xml:space="preserve">planul şi programă de pregătire aprobate de Comisia de Autorizare pentru meseria solicitată; </w:t>
      </w:r>
    </w:p>
    <w:p>
      <w:pPr>
        <w:pStyle w:val="Normal"/>
        <w:numPr>
          <w:ilvl w:val="0"/>
          <w:numId w:val="5"/>
        </w:numPr>
        <w:spacing w:lineRule="auto" w:line="240" w:before="0" w:after="0"/>
        <w:jc w:val="both"/>
        <w:rPr>
          <w:rFonts w:cs="Calibri" w:ascii="Times New Roman" w:hAnsi="Times New Roman"/>
          <w:sz w:val="24"/>
          <w:szCs w:val="24"/>
        </w:rPr>
      </w:pPr>
      <w:r>
        <w:rPr>
          <w:rFonts w:cs="Calibri" w:ascii="Times New Roman" w:hAnsi="Times New Roman"/>
          <w:sz w:val="24"/>
          <w:szCs w:val="24"/>
        </w:rPr>
        <w:t>contracte/parteneriate cu agenţii economici care asigură desfăşurarea instruirii practice, acestea vor cuprinde următoarele menţiuni:</w:t>
      </w:r>
    </w:p>
    <w:p>
      <w:pPr>
        <w:pStyle w:val="Normal"/>
        <w:numPr>
          <w:ilvl w:val="1"/>
          <w:numId w:val="3"/>
        </w:numPr>
        <w:spacing w:lineRule="auto" w:line="240" w:before="0" w:after="0"/>
        <w:jc w:val="both"/>
        <w:rPr>
          <w:rFonts w:cs="Calibri" w:ascii="Times New Roman" w:hAnsi="Times New Roman"/>
          <w:sz w:val="24"/>
          <w:szCs w:val="24"/>
        </w:rPr>
      </w:pPr>
      <w:r>
        <w:rPr>
          <w:rFonts w:cs="Calibri" w:ascii="Times New Roman" w:hAnsi="Times New Roman"/>
          <w:sz w:val="24"/>
          <w:szCs w:val="24"/>
        </w:rPr>
        <w:t>adresele complete ale părţilor;</w:t>
      </w:r>
    </w:p>
    <w:p>
      <w:pPr>
        <w:pStyle w:val="Normal"/>
        <w:numPr>
          <w:ilvl w:val="1"/>
          <w:numId w:val="3"/>
        </w:numPr>
        <w:spacing w:lineRule="auto" w:line="240" w:before="0" w:after="0"/>
        <w:rPr>
          <w:rFonts w:cs="Calibri" w:ascii="Times New Roman" w:hAnsi="Times New Roman"/>
          <w:sz w:val="24"/>
          <w:szCs w:val="24"/>
        </w:rPr>
      </w:pPr>
      <w:r>
        <w:rPr>
          <w:rFonts w:cs="Calibri" w:ascii="Times New Roman" w:hAnsi="Times New Roman"/>
          <w:sz w:val="24"/>
          <w:szCs w:val="24"/>
        </w:rPr>
        <w:t>situaţia spaţiilor dotate corespunzător programei de pregătire, capacitatea spaţiilor exprimată în număr de locuri de practică / curs;</w:t>
      </w:r>
    </w:p>
    <w:p>
      <w:pPr>
        <w:pStyle w:val="Normal"/>
        <w:numPr>
          <w:ilvl w:val="1"/>
          <w:numId w:val="3"/>
        </w:numPr>
        <w:spacing w:lineRule="auto" w:line="240" w:before="0" w:after="0"/>
        <w:jc w:val="both"/>
        <w:rPr>
          <w:rFonts w:cs="Calibri" w:ascii="Times New Roman" w:hAnsi="Times New Roman"/>
          <w:sz w:val="24"/>
          <w:szCs w:val="24"/>
        </w:rPr>
      </w:pPr>
      <w:r>
        <w:rPr>
          <w:rFonts w:cs="Calibri" w:ascii="Times New Roman" w:hAnsi="Times New Roman"/>
          <w:sz w:val="24"/>
          <w:szCs w:val="24"/>
        </w:rPr>
        <w:t>existența autorizaţiilor de funcţionare;</w:t>
      </w:r>
    </w:p>
    <w:p>
      <w:pPr>
        <w:pStyle w:val="Normal"/>
        <w:numPr>
          <w:ilvl w:val="1"/>
          <w:numId w:val="3"/>
        </w:numPr>
        <w:spacing w:lineRule="auto" w:line="240" w:before="0" w:after="0"/>
        <w:rPr>
          <w:rFonts w:cs="Calibri" w:ascii="Times New Roman" w:hAnsi="Times New Roman"/>
          <w:sz w:val="24"/>
          <w:szCs w:val="24"/>
        </w:rPr>
      </w:pPr>
      <w:r>
        <w:rPr>
          <w:rFonts w:cs="Calibri" w:ascii="Times New Roman" w:hAnsi="Times New Roman"/>
          <w:sz w:val="24"/>
          <w:szCs w:val="24"/>
        </w:rPr>
        <w:t xml:space="preserve">termenul limită de valabilitate al contractului / parteneriatului. </w:t>
      </w:r>
    </w:p>
    <w:p>
      <w:pPr>
        <w:pStyle w:val="Normal"/>
        <w:spacing w:lineRule="auto" w:line="240" w:before="0" w:after="0"/>
        <w:rPr>
          <w:rFonts w:cs="Arial" w:ascii="Times New Roman" w:hAnsi="Times New Roman"/>
          <w:b/>
          <w:bCs/>
          <w:sz w:val="24"/>
          <w:szCs w:val="24"/>
        </w:rPr>
      </w:pPr>
      <w:r>
        <w:rPr>
          <w:rFonts w:cs="Arial" w:ascii="Times New Roman" w:hAnsi="Times New Roman"/>
          <w:b/>
          <w:bCs/>
          <w:sz w:val="24"/>
          <w:szCs w:val="24"/>
        </w:rPr>
      </w:r>
    </w:p>
    <w:p>
      <w:pPr>
        <w:pStyle w:val="Normal"/>
        <w:spacing w:lineRule="auto" w:line="240" w:before="0" w:after="0"/>
        <w:rPr>
          <w:rFonts w:cs="Arial" w:ascii="Times New Roman" w:hAnsi="Times New Roman"/>
          <w:b/>
          <w:bCs/>
          <w:sz w:val="24"/>
          <w:szCs w:val="24"/>
        </w:rPr>
      </w:pPr>
      <w:r>
        <w:rPr>
          <w:rFonts w:cs="Arial" w:ascii="Times New Roman" w:hAnsi="Times New Roman"/>
          <w:b/>
          <w:bCs/>
          <w:sz w:val="24"/>
          <w:szCs w:val="24"/>
        </w:rPr>
      </w:r>
    </w:p>
    <w:p>
      <w:pPr>
        <w:pStyle w:val="Normal"/>
        <w:spacing w:lineRule="auto" w:line="240" w:before="0" w:after="0"/>
        <w:rPr>
          <w:rFonts w:cs="Arial" w:ascii="Times New Roman" w:hAnsi="Times New Roman"/>
          <w:b/>
          <w:bCs/>
          <w:sz w:val="24"/>
          <w:szCs w:val="24"/>
        </w:rPr>
      </w:pPr>
      <w:r>
        <w:rPr>
          <w:rFonts w:cs="Arial" w:ascii="Times New Roman" w:hAnsi="Times New Roman"/>
          <w:b/>
          <w:bCs/>
          <w:sz w:val="24"/>
          <w:szCs w:val="24"/>
        </w:rPr>
      </w:r>
    </w:p>
    <w:p>
      <w:pPr>
        <w:pStyle w:val="Normal"/>
        <w:spacing w:lineRule="auto" w:line="240" w:before="0" w:after="0"/>
        <w:rPr>
          <w:rFonts w:cs="Calibri" w:ascii="Times New Roman" w:hAnsi="Times New Roman"/>
          <w:b/>
          <w:bCs/>
          <w:sz w:val="24"/>
          <w:szCs w:val="24"/>
        </w:rPr>
      </w:pPr>
      <w:r>
        <w:rPr>
          <w:rFonts w:cs="Arial" w:ascii="Times New Roman" w:hAnsi="Times New Roman"/>
          <w:b/>
          <w:bCs/>
          <w:sz w:val="24"/>
          <w:szCs w:val="24"/>
        </w:rPr>
        <w:t xml:space="preserve">B.2 </w:t>
      </w:r>
      <w:r>
        <w:rPr>
          <w:rFonts w:cs="Calibri" w:ascii="Times New Roman" w:hAnsi="Times New Roman"/>
          <w:b/>
          <w:bCs/>
          <w:sz w:val="24"/>
          <w:szCs w:val="24"/>
        </w:rPr>
        <w:t>LOT 2 PACHETE CONȚINÂND TRANSPORT ŞI MASĂ PARTICIPANȚI</w:t>
      </w:r>
    </w:p>
    <w:p>
      <w:pPr>
        <w:pStyle w:val="Normal"/>
        <w:spacing w:lineRule="auto" w:line="240" w:before="0" w:after="0"/>
        <w:rPr>
          <w:rFonts w:cs="Calibri" w:ascii="Times New Roman" w:hAnsi="Times New Roman"/>
          <w:b/>
          <w:bCs/>
          <w:sz w:val="24"/>
          <w:szCs w:val="24"/>
        </w:rPr>
      </w:pPr>
      <w:r>
        <w:rPr>
          <w:rFonts w:cs="Calibri" w:ascii="Times New Roman" w:hAnsi="Times New Roman"/>
          <w:b/>
          <w:bCs/>
          <w:sz w:val="24"/>
          <w:szCs w:val="24"/>
        </w:rPr>
      </w:r>
    </w:p>
    <w:p>
      <w:pPr>
        <w:pStyle w:val="Normal"/>
        <w:spacing w:lineRule="auto" w:line="240" w:before="0" w:after="0"/>
        <w:rPr>
          <w:rFonts w:cs="Arial" w:ascii="Times New Roman" w:hAnsi="Times New Roman"/>
          <w:b/>
          <w:bCs/>
          <w:sz w:val="24"/>
          <w:szCs w:val="24"/>
        </w:rPr>
      </w:pPr>
      <w:r>
        <w:rPr>
          <w:rFonts w:cs="Arial" w:ascii="Times New Roman" w:hAnsi="Times New Roman"/>
          <w:b/>
          <w:bCs/>
          <w:sz w:val="24"/>
          <w:szCs w:val="24"/>
        </w:rPr>
        <w:t>Valoarea estimată a contractului:  181451,61 lei fără tva</w:t>
      </w:r>
    </w:p>
    <w:p>
      <w:pPr>
        <w:pStyle w:val="Normal"/>
        <w:spacing w:lineRule="auto" w:line="240" w:before="0" w:after="0"/>
        <w:rPr>
          <w:rFonts w:cs="Arial" w:ascii="Times New Roman" w:hAnsi="Times New Roman"/>
          <w:b/>
          <w:bCs/>
          <w:sz w:val="24"/>
          <w:szCs w:val="24"/>
        </w:rPr>
      </w:pPr>
      <w:r>
        <w:rPr>
          <w:rFonts w:cs="Arial" w:ascii="Times New Roman" w:hAnsi="Times New Roman"/>
          <w:b/>
          <w:bCs/>
          <w:sz w:val="24"/>
          <w:szCs w:val="24"/>
        </w:rPr>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Furnizorul selectat pentru lotul 2 în vederea prestării serviciilor de masă şi transport va asigura transportul participanţilor de la domiciliile acestora către locaţiile de organizare a formării profesionale (inclusiv a orelor de practică) şi retur şi vor asigura masa participanţilor  în fiecare zi a perioadei de desfăşurare a cursurilor de calificare, în locațiile în care vor avea loc activitățile.</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Distanța maximă de transport între domiciliile participanților și locațiile de desfășurare  a formării profesionale: 50 km plus retur.</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Numărul maxim de participanți de transportat pe cursă: 15</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 xml:space="preserve">Interval zilnic de staționare a participanților pentru desfășurarea activităților de formare profesională: maxim 8 ore </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Rute de transport: între locațiile de domiciliu ale participanților (județul Ialomița) și locațiile de desfășurare a activităților de formare profesională (Urziceni, Traian, Slobozia, Feteşti)</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Durata estimată de asigurare a serviciilor de transport și masă: de la data atribuirii contractului și până la data de 31.08.</w:t>
      </w:r>
      <w:r>
        <w:rPr>
          <w:rFonts w:cs="Calibri" w:ascii="Times New Roman" w:hAnsi="Times New Roman"/>
          <w:sz w:val="24"/>
          <w:szCs w:val="24"/>
        </w:rPr>
        <w:t>2015</w:t>
      </w:r>
      <w:r>
        <w:rPr>
          <w:rFonts w:cs="Calibri" w:ascii="Times New Roman" w:hAnsi="Times New Roman"/>
          <w:sz w:val="24"/>
          <w:szCs w:val="24"/>
        </w:rPr>
        <w:t>.</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Numărul estimat de curse dus-întors: 720.</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Nr. total de persoane pentru care se asigura pachete conținând masa și transport: 125 persoane x 60 de zile/persoană</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Perioadele pentru care se solicita efectuarea transportului şi asigurarea meselor, precum şi programul zilnic vor fi stabilite de către autoritatea contractantă, zilele putând să fie neconsecutive.</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Masa va fi asigurată în sistem catering, în cantităţi suficiente pentru toţi participanţii, cuprinzând:</w:t>
      </w:r>
    </w:p>
    <w:p>
      <w:pPr>
        <w:pStyle w:val="Normal"/>
        <w:tabs>
          <w:tab w:val="left" w:pos="990" w:leader="none"/>
        </w:tabs>
        <w:spacing w:lineRule="auto" w:line="240" w:before="0" w:after="0"/>
        <w:ind w:left="705" w:right="0" w:hanging="0"/>
        <w:jc w:val="both"/>
        <w:rPr>
          <w:rFonts w:cs="Calibri" w:ascii="Times New Roman" w:hAnsi="Times New Roman"/>
          <w:sz w:val="24"/>
          <w:szCs w:val="24"/>
        </w:rPr>
      </w:pPr>
      <w:r>
        <w:rPr>
          <w:rFonts w:cs="Calibri" w:ascii="Times New Roman" w:hAnsi="Times New Roman"/>
          <w:sz w:val="24"/>
          <w:szCs w:val="24"/>
        </w:rPr>
        <w:t>o</w:t>
        <w:tab/>
        <w:t>pauză de cafea la care să se ofere minim cafea, ceai, apă minerală şi plată, produse de patiserie, într-un spaţiu aranjat adecvat, în proximitatea sălii de curs.</w:t>
      </w:r>
    </w:p>
    <w:p>
      <w:pPr>
        <w:pStyle w:val="Normal"/>
        <w:tabs>
          <w:tab w:val="left" w:pos="990" w:leader="none"/>
        </w:tabs>
        <w:spacing w:lineRule="auto" w:line="240" w:before="0" w:after="0"/>
        <w:ind w:left="705" w:right="0" w:hanging="0"/>
        <w:jc w:val="both"/>
        <w:rPr>
          <w:rFonts w:cs="Calibri" w:ascii="Times New Roman" w:hAnsi="Times New Roman"/>
          <w:sz w:val="24"/>
          <w:szCs w:val="24"/>
        </w:rPr>
      </w:pPr>
      <w:r>
        <w:rPr>
          <w:rFonts w:cs="Calibri" w:ascii="Times New Roman" w:hAnsi="Times New Roman"/>
          <w:sz w:val="24"/>
          <w:szCs w:val="24"/>
        </w:rPr>
        <w:t>o</w:t>
        <w:tab/>
        <w:t xml:space="preserve">masa de prânz, de tip „bufet suedez”, la un standard cel puţin bun, cu diverse gustări reci şi prăjituri, apă plată şi minerală, cafea. </w:t>
      </w:r>
    </w:p>
    <w:p>
      <w:pPr>
        <w:pStyle w:val="Normal"/>
        <w:spacing w:lineRule="auto" w:line="240" w:before="0" w:after="0"/>
        <w:ind w:left="0" w:right="0" w:firstLine="705"/>
        <w:jc w:val="both"/>
        <w:rPr>
          <w:rFonts w:cs="Calibri" w:ascii="Times New Roman" w:hAnsi="Times New Roman"/>
          <w:sz w:val="24"/>
          <w:szCs w:val="24"/>
        </w:rPr>
      </w:pPr>
      <w:r>
        <w:rPr>
          <w:rFonts w:cs="Calibri" w:ascii="Times New Roman" w:hAnsi="Times New Roman"/>
          <w:sz w:val="24"/>
          <w:szCs w:val="24"/>
        </w:rPr>
        <w:t>Prestarea serviciilor se va demara la solicitarea scrisă a D.G.A.S.P.C. Ialomiţa, transmisă cu cel puţin 10 zile înainte de începerea fiecărui curs.  Furnizorii de servicii de transport şi masa trebuie să-şi manifeste disponibilitatea pentru desfăşurarea activităţilor de masă şi transport în perioadele şi conform programului care vor fi stabilite de către D.G.A.S.P.C. Ialomiţa.</w:t>
      </w:r>
    </w:p>
    <w:p>
      <w:pPr>
        <w:pStyle w:val="Normal"/>
        <w:spacing w:before="0" w:after="195"/>
        <w:ind w:left="0" w:right="0" w:firstLine="705"/>
        <w:jc w:val="both"/>
        <w:rPr/>
      </w:pPr>
      <w:r>
        <w:rPr/>
      </w:r>
    </w:p>
    <w:sectPr>
      <w:headerReference w:type="default" r:id="rId2"/>
      <w:type w:val="nextPage"/>
      <w:pgSz w:w="11906" w:h="16838"/>
      <w:pgMar w:left="1417" w:right="1417" w:header="708" w:top="115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Arial">
    <w:charset w:val="01"/>
    <w:family w:val="swiss"/>
    <w:pitch w:val="variable"/>
  </w:font>
  <w:font w:name="Courier New">
    <w:charset w:val="01"/>
    <w:family w:val="modern"/>
    <w:pitch w:val="fixed"/>
  </w:font>
  <w:font w:name="Wingdings">
    <w:charset w:val="01"/>
    <w:family w:val="auto"/>
    <w:pitch w:val="variable"/>
  </w:font>
  <w:font w:name="Symbol">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pict>
        <v:rect id="shape_0" stroked="f" style="position:absolute;margin-left:-47.1pt;margin-top:-25.4pt;width:553.75pt;height:104.65pt">
          <v:imagedata r:id="rId1" detectmouseclick="t"/>
          <v:wrap v:type="none"/>
          <v:stroke color="#3465a4" joinstyle="round" endcap="flat"/>
        </v:rect>
      </w:pic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1440"/>
        </w:tabs>
        <w:ind w:left="1440" w:hanging="360"/>
      </w:pPr>
      <w:rPr>
        <w:rFonts w:ascii="Arial" w:hAnsi="Arial" w:cs="Arial" w:hint="default"/>
        <w:sz w:val="24"/>
        <w:szCs w:val="24"/>
      </w:rPr>
    </w:lvl>
    <w:lvl w:ilvl="1">
      <w:start w:val="1"/>
      <w:numFmt w:val="bullet"/>
      <w:lvlText w:val="o"/>
      <w:lvlJc w:val="left"/>
      <w:pPr>
        <w:tabs>
          <w:tab w:val="num" w:pos="2160"/>
        </w:tabs>
        <w:ind w:left="2160" w:hanging="360"/>
      </w:pPr>
      <w:rPr>
        <w:rFonts w:ascii="Courier New" w:hAnsi="Courier New" w:cs="Courier New" w:hint="default"/>
        <w:sz w:val="24"/>
        <w:szCs w:val="24"/>
      </w:rPr>
    </w:lvl>
    <w:lvl w:ilvl="2">
      <w:start w:val="1"/>
      <w:numFmt w:val="bullet"/>
      <w:lvlText w:val="§"/>
      <w:lvlJc w:val="left"/>
      <w:pPr>
        <w:tabs>
          <w:tab w:val="num" w:pos="2880"/>
        </w:tabs>
        <w:ind w:left="2880" w:hanging="360"/>
      </w:pPr>
      <w:rPr>
        <w:rFonts w:ascii="Wingdings" w:hAnsi="Wingdings" w:cs="Wingdings" w:hint="default"/>
        <w:sz w:val="24"/>
        <w:szCs w:val="24"/>
      </w:rPr>
    </w:lvl>
    <w:lvl w:ilvl="3">
      <w:start w:val="1"/>
      <w:numFmt w:val="bullet"/>
      <w:lvlText w:val="·"/>
      <w:lvlJc w:val="left"/>
      <w:pPr>
        <w:tabs>
          <w:tab w:val="num" w:pos="3600"/>
        </w:tabs>
        <w:ind w:left="3600" w:hanging="360"/>
      </w:pPr>
      <w:rPr>
        <w:rFonts w:ascii="Symbol" w:hAnsi="Symbol" w:cs="Symbol" w:hint="default"/>
        <w:sz w:val="24"/>
        <w:szCs w:val="24"/>
      </w:rPr>
    </w:lvl>
    <w:lvl w:ilvl="4">
      <w:start w:val="1"/>
      <w:numFmt w:val="bullet"/>
      <w:lvlText w:val="o"/>
      <w:lvlJc w:val="left"/>
      <w:pPr>
        <w:tabs>
          <w:tab w:val="num" w:pos="4320"/>
        </w:tabs>
        <w:ind w:left="4320" w:hanging="360"/>
      </w:pPr>
      <w:rPr>
        <w:rFonts w:ascii="Courier New" w:hAnsi="Courier New" w:cs="Courier New" w:hint="default"/>
        <w:sz w:val="24"/>
        <w:szCs w:val="24"/>
      </w:rPr>
    </w:lvl>
    <w:lvl w:ilvl="5">
      <w:start w:val="1"/>
      <w:numFmt w:val="bullet"/>
      <w:lvlText w:val="§"/>
      <w:lvlJc w:val="left"/>
      <w:pPr>
        <w:tabs>
          <w:tab w:val="num" w:pos="5040"/>
        </w:tabs>
        <w:ind w:left="5040" w:hanging="360"/>
      </w:pPr>
      <w:rPr>
        <w:rFonts w:ascii="Wingdings" w:hAnsi="Wingdings" w:cs="Wingdings" w:hint="default"/>
        <w:sz w:val="24"/>
        <w:szCs w:val="24"/>
      </w:rPr>
    </w:lvl>
    <w:lvl w:ilvl="6">
      <w:start w:val="1"/>
      <w:numFmt w:val="bullet"/>
      <w:lvlText w:val="·"/>
      <w:lvlJc w:val="left"/>
      <w:pPr>
        <w:tabs>
          <w:tab w:val="num" w:pos="5760"/>
        </w:tabs>
        <w:ind w:left="5760" w:hanging="360"/>
      </w:pPr>
      <w:rPr>
        <w:rFonts w:ascii="Symbol" w:hAnsi="Symbol" w:cs="Symbol" w:hint="default"/>
        <w:sz w:val="24"/>
        <w:szCs w:val="24"/>
      </w:rPr>
    </w:lvl>
    <w:lvl w:ilvl="7">
      <w:start w:val="1"/>
      <w:numFmt w:val="bullet"/>
      <w:lvlText w:val="o"/>
      <w:lvlJc w:val="left"/>
      <w:pPr>
        <w:tabs>
          <w:tab w:val="num" w:pos="6480"/>
        </w:tabs>
        <w:ind w:left="6480" w:hanging="360"/>
      </w:pPr>
      <w:rPr>
        <w:rFonts w:ascii="Courier New" w:hAnsi="Courier New" w:cs="Courier New" w:hint="default"/>
        <w:sz w:val="24"/>
        <w:szCs w:val="24"/>
      </w:rPr>
    </w:lvl>
    <w:lvl w:ilvl="8">
      <w:start w:val="1"/>
      <w:numFmt w:val="bullet"/>
      <w:lvlText w:val="§"/>
      <w:lvlJc w:val="left"/>
      <w:pPr>
        <w:tabs>
          <w:tab w:val="num" w:pos="7200"/>
        </w:tabs>
        <w:ind w:left="7200" w:hanging="360"/>
      </w:pPr>
      <w:rPr>
        <w:rFonts w:ascii="Wingdings" w:hAnsi="Wingdings" w:cs="Wingdings" w:hint="default"/>
        <w:sz w:val="24"/>
        <w:szCs w:val="24"/>
      </w:rPr>
    </w:lvl>
  </w:abstractNum>
  <w:abstractNum w:abstractNumId="2">
    <w:lvl w:ilvl="0">
      <w:start w:val="1"/>
      <w:numFmt w:val="lowerLetter"/>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rPr>
        <w:sz w:val="24"/>
        <w:szCs w:val="24"/>
      </w:rPr>
    </w:lvl>
    <w:lvl w:ilvl="3">
      <w:start w:val="1"/>
      <w:numFmt w:val="decimal"/>
      <w:lvlText w:val="%4."/>
      <w:lvlJc w:val="left"/>
      <w:pPr>
        <w:tabs>
          <w:tab w:val="num" w:pos="2880"/>
        </w:tabs>
        <w:ind w:left="2880" w:hanging="360"/>
      </w:pPr>
      <w:rPr>
        <w:sz w:val="24"/>
        <w:szCs w:val="24"/>
      </w:rPr>
    </w:lvl>
    <w:lvl w:ilvl="4">
      <w:start w:val="1"/>
      <w:numFmt w:val="lowerLetter"/>
      <w:lvlText w:val="%5."/>
      <w:lvlJc w:val="left"/>
      <w:pPr>
        <w:tabs>
          <w:tab w:val="num" w:pos="3600"/>
        </w:tabs>
        <w:ind w:left="3600" w:hanging="360"/>
      </w:pPr>
      <w:rPr>
        <w:sz w:val="24"/>
        <w:szCs w:val="24"/>
      </w:rPr>
    </w:lvl>
    <w:lvl w:ilvl="5">
      <w:start w:val="1"/>
      <w:numFmt w:val="lowerRoman"/>
      <w:lvlText w:val="%6."/>
      <w:lvlJc w:val="right"/>
      <w:pPr>
        <w:tabs>
          <w:tab w:val="num" w:pos="4320"/>
        </w:tabs>
        <w:ind w:left="4320" w:hanging="180"/>
      </w:pPr>
      <w:rPr>
        <w:sz w:val="24"/>
        <w:szCs w:val="24"/>
      </w:rPr>
    </w:lvl>
    <w:lvl w:ilvl="6">
      <w:start w:val="1"/>
      <w:numFmt w:val="decimal"/>
      <w:lvlText w:val="%7."/>
      <w:lvlJc w:val="left"/>
      <w:pPr>
        <w:tabs>
          <w:tab w:val="num" w:pos="5040"/>
        </w:tabs>
        <w:ind w:left="5040" w:hanging="360"/>
      </w:pPr>
      <w:rPr>
        <w:sz w:val="24"/>
        <w:szCs w:val="24"/>
      </w:rPr>
    </w:lvl>
    <w:lvl w:ilvl="7">
      <w:start w:val="1"/>
      <w:numFmt w:val="lowerLetter"/>
      <w:lvlText w:val="%8."/>
      <w:lvlJc w:val="left"/>
      <w:pPr>
        <w:tabs>
          <w:tab w:val="num" w:pos="5760"/>
        </w:tabs>
        <w:ind w:left="5760" w:hanging="360"/>
      </w:pPr>
      <w:rPr>
        <w:sz w:val="24"/>
        <w:szCs w:val="24"/>
      </w:rPr>
    </w:lvl>
    <w:lvl w:ilvl="8">
      <w:start w:val="1"/>
      <w:numFmt w:val="lowerRoman"/>
      <w:lvlText w:val="%9."/>
      <w:lvlJc w:val="right"/>
      <w:pPr>
        <w:tabs>
          <w:tab w:val="num" w:pos="6480"/>
        </w:tabs>
        <w:ind w:left="6480" w:hanging="180"/>
      </w:pPr>
      <w:rPr>
        <w:sz w:val="24"/>
        <w:szCs w:val="24"/>
      </w:rPr>
    </w:lvl>
  </w:abstractNum>
  <w:abstractNum w:abstractNumId="3">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440"/>
        </w:tabs>
        <w:ind w:left="1440" w:hanging="360"/>
      </w:pPr>
      <w:rPr>
        <w:rFonts w:ascii="Arial" w:hAnsi="Arial" w:cs="Arial"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4">
    <w:lvl w:ilvl="0">
      <w:start w:val="1"/>
      <w:numFmt w:val="bullet"/>
      <w:lvlText w:val="-"/>
      <w:lvlJc w:val="left"/>
      <w:pPr>
        <w:tabs>
          <w:tab w:val="num" w:pos="720"/>
        </w:tabs>
        <w:ind w:left="720" w:hanging="360"/>
      </w:pPr>
      <w:rPr>
        <w:rFonts w:ascii="Arial" w:hAnsi="Arial" w:cs="Aria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5">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6">
    <w:lvl w:ilvl="0">
      <w:start w:val="1"/>
      <w:numFmt w:val="bullet"/>
      <w:lvlText w:val="-"/>
      <w:lvlJc w:val="left"/>
      <w:pPr>
        <w:tabs>
          <w:tab w:val="num" w:pos="720"/>
        </w:tabs>
        <w:ind w:left="720" w:hanging="360"/>
      </w:pPr>
      <w:rPr>
        <w:rFonts w:ascii="Arial" w:hAnsi="Arial" w:cs="Arial" w:hint="default"/>
        <w:sz w:val="22"/>
        <w:szCs w:val="22"/>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7">
    <w:lvl w:ilvl="0">
      <w:start w:val="1"/>
      <w:numFmt w:val="lowerLetter"/>
      <w:lvlText w:val="%1)"/>
      <w:lvlJc w:val="left"/>
      <w:pPr>
        <w:tabs>
          <w:tab w:val="num" w:pos="360"/>
        </w:tabs>
        <w:ind w:left="360" w:hanging="375"/>
      </w:pPr>
      <w:rPr>
        <w:sz w:val="24"/>
        <w:b/>
        <w:szCs w:val="24"/>
        <w:bCs/>
      </w:rPr>
    </w:lvl>
    <w:lvl w:ilvl="1">
      <w:start w:val="1"/>
      <w:numFmt w:val="lowerLetter"/>
      <w:lvlText w:val="%2."/>
      <w:lvlJc w:val="left"/>
      <w:pPr>
        <w:tabs>
          <w:tab w:val="num" w:pos="1800"/>
        </w:tabs>
        <w:ind w:left="1800" w:hanging="360"/>
      </w:pPr>
      <w:rPr>
        <w:sz w:val="24"/>
        <w:szCs w:val="24"/>
      </w:rPr>
    </w:lvl>
    <w:lvl w:ilvl="2">
      <w:start w:val="1"/>
      <w:numFmt w:val="lowerRoman"/>
      <w:lvlText w:val="%3."/>
      <w:lvlJc w:val="right"/>
      <w:pPr>
        <w:tabs>
          <w:tab w:val="num" w:pos="2520"/>
        </w:tabs>
        <w:ind w:left="2520" w:hanging="180"/>
      </w:pPr>
      <w:rPr>
        <w:sz w:val="24"/>
        <w:szCs w:val="24"/>
      </w:rPr>
    </w:lvl>
    <w:lvl w:ilvl="3">
      <w:start w:val="1"/>
      <w:numFmt w:val="decimal"/>
      <w:lvlText w:val="%4."/>
      <w:lvlJc w:val="left"/>
      <w:pPr>
        <w:tabs>
          <w:tab w:val="num" w:pos="3240"/>
        </w:tabs>
        <w:ind w:left="3240" w:hanging="360"/>
      </w:pPr>
      <w:rPr>
        <w:sz w:val="24"/>
        <w:szCs w:val="24"/>
      </w:rPr>
    </w:lvl>
    <w:lvl w:ilvl="4">
      <w:start w:val="1"/>
      <w:numFmt w:val="lowerLetter"/>
      <w:lvlText w:val="%5."/>
      <w:lvlJc w:val="left"/>
      <w:pPr>
        <w:tabs>
          <w:tab w:val="num" w:pos="3960"/>
        </w:tabs>
        <w:ind w:left="3960" w:hanging="360"/>
      </w:pPr>
      <w:rPr>
        <w:sz w:val="24"/>
        <w:szCs w:val="24"/>
      </w:rPr>
    </w:lvl>
    <w:lvl w:ilvl="5">
      <w:start w:val="1"/>
      <w:numFmt w:val="lowerRoman"/>
      <w:lvlText w:val="%6."/>
      <w:lvlJc w:val="right"/>
      <w:pPr>
        <w:tabs>
          <w:tab w:val="num" w:pos="4680"/>
        </w:tabs>
        <w:ind w:left="4680" w:hanging="180"/>
      </w:pPr>
      <w:rPr>
        <w:sz w:val="24"/>
        <w:szCs w:val="24"/>
      </w:rPr>
    </w:lvl>
    <w:lvl w:ilvl="6">
      <w:start w:val="1"/>
      <w:numFmt w:val="decimal"/>
      <w:lvlText w:val="%7."/>
      <w:lvlJc w:val="left"/>
      <w:pPr>
        <w:tabs>
          <w:tab w:val="num" w:pos="5400"/>
        </w:tabs>
        <w:ind w:left="5400" w:hanging="360"/>
      </w:pPr>
      <w:rPr>
        <w:sz w:val="24"/>
        <w:szCs w:val="24"/>
      </w:rPr>
    </w:lvl>
    <w:lvl w:ilvl="7">
      <w:start w:val="1"/>
      <w:numFmt w:val="lowerLetter"/>
      <w:lvlText w:val="%8."/>
      <w:lvlJc w:val="left"/>
      <w:pPr>
        <w:tabs>
          <w:tab w:val="num" w:pos="6120"/>
        </w:tabs>
        <w:ind w:left="6120" w:hanging="360"/>
      </w:pPr>
      <w:rPr>
        <w:sz w:val="24"/>
        <w:szCs w:val="24"/>
      </w:rPr>
    </w:lvl>
    <w:lvl w:ilvl="8">
      <w:start w:val="1"/>
      <w:numFmt w:val="lowerRoman"/>
      <w:lvlText w:val="%9."/>
      <w:lvlJc w:val="right"/>
      <w:pPr>
        <w:tabs>
          <w:tab w:val="num" w:pos="6840"/>
        </w:tabs>
        <w:ind w:left="6840" w:hanging="180"/>
      </w:pPr>
      <w:rPr>
        <w:sz w:val="24"/>
        <w:szCs w:val="24"/>
      </w:rPr>
    </w:lvl>
  </w:abstractNum>
  <w:abstractNum w:abstractNumId="8">
    <w:lvl w:ilvl="0">
      <w:start w:val="1"/>
      <w:numFmt w:val="bullet"/>
      <w:lvlText w:val="·"/>
      <w:lvlJc w:val="left"/>
      <w:pPr>
        <w:ind w:left="720" w:hanging="360"/>
      </w:pPr>
      <w:rPr>
        <w:rFonts w:ascii="Symbol" w:hAnsi="Symbol" w:cs="Symbol" w:hint="default"/>
        <w:sz w:val="24"/>
        <w:szCs w:val="24"/>
      </w:rPr>
    </w:lvl>
    <w:lvl w:ilvl="1">
      <w:start w:val="1"/>
      <w:numFmt w:val="bullet"/>
      <w:lvlText w:val="o"/>
      <w:lvlJc w:val="left"/>
      <w:pPr>
        <w:ind w:left="1440" w:hanging="360"/>
      </w:pPr>
      <w:rPr>
        <w:rFonts w:ascii="Courier New" w:hAnsi="Courier New" w:cs="Courier New" w:hint="default"/>
        <w:sz w:val="24"/>
        <w:szCs w:val="24"/>
      </w:rPr>
    </w:lvl>
    <w:lvl w:ilvl="2">
      <w:start w:val="1"/>
      <w:numFmt w:val="bullet"/>
      <w:lvlText w:val="§"/>
      <w:lvlJc w:val="left"/>
      <w:pPr>
        <w:ind w:left="2160" w:hanging="360"/>
      </w:pPr>
      <w:rPr>
        <w:rFonts w:ascii="Wingdings" w:hAnsi="Wingdings" w:cs="Wingdings" w:hint="default"/>
        <w:sz w:val="24"/>
        <w:szCs w:val="24"/>
      </w:rPr>
    </w:lvl>
    <w:lvl w:ilvl="3">
      <w:start w:val="1"/>
      <w:numFmt w:val="bullet"/>
      <w:lvlText w:val="·"/>
      <w:lvlJc w:val="left"/>
      <w:pPr>
        <w:ind w:left="2880" w:hanging="360"/>
      </w:pPr>
      <w:rPr>
        <w:rFonts w:ascii="Symbol" w:hAnsi="Symbol" w:cs="Symbol" w:hint="default"/>
        <w:sz w:val="24"/>
        <w:szCs w:val="24"/>
      </w:rPr>
    </w:lvl>
    <w:lvl w:ilvl="4">
      <w:start w:val="1"/>
      <w:numFmt w:val="bullet"/>
      <w:lvlText w:val="o"/>
      <w:lvlJc w:val="left"/>
      <w:pPr>
        <w:ind w:left="3600" w:hanging="360"/>
      </w:pPr>
      <w:rPr>
        <w:rFonts w:ascii="Courier New" w:hAnsi="Courier New" w:cs="Courier New" w:hint="default"/>
        <w:sz w:val="24"/>
        <w:szCs w:val="24"/>
      </w:rPr>
    </w:lvl>
    <w:lvl w:ilvl="5">
      <w:start w:val="1"/>
      <w:numFmt w:val="bullet"/>
      <w:lvlText w:val="§"/>
      <w:lvlJc w:val="left"/>
      <w:pPr>
        <w:ind w:left="4320" w:hanging="360"/>
      </w:pPr>
      <w:rPr>
        <w:rFonts w:ascii="Wingdings" w:hAnsi="Wingdings" w:cs="Wingdings" w:hint="default"/>
        <w:sz w:val="24"/>
        <w:szCs w:val="24"/>
      </w:rPr>
    </w:lvl>
    <w:lvl w:ilvl="6">
      <w:start w:val="1"/>
      <w:numFmt w:val="bullet"/>
      <w:lvlText w:val="·"/>
      <w:lvlJc w:val="left"/>
      <w:pPr>
        <w:ind w:left="5040" w:hanging="360"/>
      </w:pPr>
      <w:rPr>
        <w:rFonts w:ascii="Symbol" w:hAnsi="Symbol" w:cs="Symbol" w:hint="default"/>
        <w:sz w:val="24"/>
        <w:szCs w:val="24"/>
      </w:rPr>
    </w:lvl>
    <w:lvl w:ilvl="7">
      <w:start w:val="1"/>
      <w:numFmt w:val="bullet"/>
      <w:lvlText w:val="o"/>
      <w:lvlJc w:val="left"/>
      <w:pPr>
        <w:ind w:left="5760" w:hanging="360"/>
      </w:pPr>
      <w:rPr>
        <w:rFonts w:ascii="Courier New" w:hAnsi="Courier New" w:cs="Courier New" w:hint="default"/>
        <w:sz w:val="24"/>
        <w:szCs w:val="24"/>
      </w:rPr>
    </w:lvl>
    <w:lvl w:ilvl="8">
      <w:start w:val="1"/>
      <w:numFmt w:val="bullet"/>
      <w:lvlText w:val="§"/>
      <w:lvlJc w:val="left"/>
      <w:pPr>
        <w:ind w:left="6480" w:hanging="360"/>
      </w:pPr>
      <w:rPr>
        <w:rFonts w:ascii="Wingdings" w:hAnsi="Wingdings" w:cs="Wingdings" w:hint="default"/>
        <w:sz w:val="24"/>
        <w:szCs w:val="24"/>
      </w:rPr>
    </w:lvl>
  </w:abstractNum>
  <w:abstractNum w:abstractNumId="9">
    <w:lvl w:ilvl="0">
      <w:start w:val="1"/>
      <w:numFmt w:val="bullet"/>
      <w:lvlText w:val="-"/>
      <w:lvlJc w:val="left"/>
      <w:pPr>
        <w:tabs>
          <w:tab w:val="num" w:pos="720"/>
        </w:tabs>
        <w:ind w:left="720" w:hanging="360"/>
      </w:pPr>
      <w:rPr>
        <w:rFonts w:ascii="Arial" w:hAnsi="Arial" w:cs="Aria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10">
    <w:lvl w:ilvl="0">
      <w:start w:val="1"/>
      <w:numFmt w:val="bullet"/>
      <w:lvlText w:val="-"/>
      <w:lvlJc w:val="left"/>
      <w:pPr>
        <w:tabs>
          <w:tab w:val="num" w:pos="720"/>
        </w:tabs>
        <w:ind w:left="720" w:hanging="360"/>
      </w:pPr>
      <w:rPr>
        <w:rFonts w:ascii="Times New Roman" w:hAnsi="Times New Roman" w:cs="Times New Roman" w:hint="default"/>
        <w:sz w:val="24"/>
        <w:szCs w:val="24"/>
      </w:rPr>
    </w:lvl>
    <w:lvl w:ilvl="1">
      <w:start w:val="1"/>
      <w:numFmt w:val="bullet"/>
      <w:lvlText w:val="·"/>
      <w:lvlJc w:val="left"/>
      <w:pPr>
        <w:tabs>
          <w:tab w:val="num" w:pos="1440"/>
        </w:tabs>
        <w:ind w:left="1440" w:hanging="360"/>
      </w:pPr>
      <w:rPr>
        <w:rFonts w:ascii="Symbol" w:hAnsi="Symbol" w:cs="Symbol" w:hint="default"/>
        <w:sz w:val="24"/>
        <w:i/>
        <w:b/>
        <w:szCs w:val="24"/>
        <w:iCs/>
        <w:bCs/>
      </w:rPr>
    </w:lvl>
    <w:lvl w:ilvl="2">
      <w:start w:val="1"/>
      <w:numFmt w:val="decimal"/>
      <w:lvlText w:val="%3."/>
      <w:lvlJc w:val="left"/>
      <w:pPr>
        <w:tabs>
          <w:tab w:val="num" w:pos="2160"/>
        </w:tabs>
        <w:ind w:left="2160" w:hanging="360"/>
      </w:pPr>
      <w:rPr>
        <w:sz w:val="24"/>
        <w:szCs w:val="24"/>
      </w:rPr>
    </w:lvl>
    <w:lvl w:ilvl="3">
      <w:start w:val="1"/>
      <w:numFmt w:val="decimal"/>
      <w:lvlText w:val="%4."/>
      <w:lvlJc w:val="left"/>
      <w:pPr>
        <w:tabs>
          <w:tab w:val="num" w:pos="2880"/>
        </w:tabs>
        <w:ind w:left="2880" w:hanging="360"/>
      </w:pPr>
      <w:rPr>
        <w:sz w:val="24"/>
        <w:szCs w:val="24"/>
      </w:rPr>
    </w:lvl>
    <w:lvl w:ilvl="4">
      <w:start w:val="1"/>
      <w:numFmt w:val="decimal"/>
      <w:lvlText w:val="%5."/>
      <w:lvlJc w:val="left"/>
      <w:pPr>
        <w:tabs>
          <w:tab w:val="num" w:pos="3600"/>
        </w:tabs>
        <w:ind w:left="3600" w:hanging="360"/>
      </w:pPr>
      <w:rPr>
        <w:sz w:val="24"/>
        <w:szCs w:val="24"/>
      </w:rPr>
    </w:lvl>
    <w:lvl w:ilvl="5">
      <w:start w:val="1"/>
      <w:numFmt w:val="decimal"/>
      <w:lvlText w:val="%6."/>
      <w:lvlJc w:val="left"/>
      <w:pPr>
        <w:tabs>
          <w:tab w:val="num" w:pos="4320"/>
        </w:tabs>
        <w:ind w:left="4320" w:hanging="360"/>
      </w:pPr>
      <w:rPr>
        <w:sz w:val="24"/>
        <w:szCs w:val="24"/>
      </w:rPr>
    </w:lvl>
    <w:lvl w:ilvl="6">
      <w:start w:val="1"/>
      <w:numFmt w:val="decimal"/>
      <w:lvlText w:val="%7."/>
      <w:lvlJc w:val="left"/>
      <w:pPr>
        <w:tabs>
          <w:tab w:val="num" w:pos="5040"/>
        </w:tabs>
        <w:ind w:left="5040" w:hanging="360"/>
      </w:pPr>
      <w:rPr>
        <w:sz w:val="24"/>
        <w:szCs w:val="24"/>
      </w:rPr>
    </w:lvl>
    <w:lvl w:ilvl="7">
      <w:start w:val="1"/>
      <w:numFmt w:val="decimal"/>
      <w:lvlText w:val="%8."/>
      <w:lvlJc w:val="left"/>
      <w:pPr>
        <w:tabs>
          <w:tab w:val="num" w:pos="5760"/>
        </w:tabs>
        <w:ind w:left="5760" w:hanging="360"/>
      </w:pPr>
      <w:rPr>
        <w:sz w:val="24"/>
        <w:szCs w:val="24"/>
      </w:rPr>
    </w:lvl>
    <w:lvl w:ilvl="8">
      <w:start w:val="1"/>
      <w:numFmt w:val="decimal"/>
      <w:lvlText w:val="%9."/>
      <w:lvlJc w:val="left"/>
      <w:pPr>
        <w:tabs>
          <w:tab w:val="num" w:pos="6480"/>
        </w:tabs>
        <w:ind w:left="6480" w:hanging="360"/>
      </w:pPr>
      <w:rPr>
        <w:sz w:val="24"/>
        <w:szCs w:val="24"/>
      </w:rPr>
    </w:lvl>
  </w:abstractNum>
  <w:abstractNum w:abstractNumId="11">
    <w:lvl w:ilvl="0">
      <w:start w:val="1"/>
      <w:numFmt w:val="bullet"/>
      <w:lvlText w:val="·"/>
      <w:lvlJc w:val="left"/>
      <w:pPr>
        <w:ind w:left="720" w:hanging="360"/>
      </w:pPr>
      <w:rPr>
        <w:rFonts w:ascii="Symbol" w:hAnsi="Symbol" w:cs="Symbol" w:hint="default"/>
        <w:sz w:val="24"/>
        <w:szCs w:val="24"/>
      </w:rPr>
    </w:lvl>
    <w:lvl w:ilvl="1">
      <w:start w:val="1"/>
      <w:numFmt w:val="bullet"/>
      <w:lvlText w:val="·"/>
      <w:lvlJc w:val="left"/>
      <w:pPr>
        <w:ind w:left="1440" w:hanging="360"/>
      </w:pPr>
      <w:rPr>
        <w:rFonts w:ascii="Times New Roman" w:hAnsi="Times New Roman" w:cs="Times New Roman" w:hint="default"/>
        <w:sz w:val="24"/>
        <w:szCs w:val="24"/>
      </w:rPr>
    </w:lvl>
    <w:lvl w:ilvl="2">
      <w:start w:val="1"/>
      <w:numFmt w:val="bullet"/>
      <w:lvlText w:val="§"/>
      <w:lvlJc w:val="left"/>
      <w:pPr>
        <w:ind w:left="2160" w:hanging="360"/>
      </w:pPr>
      <w:rPr>
        <w:rFonts w:ascii="Wingdings" w:hAnsi="Wingdings" w:cs="Wingdings" w:hint="default"/>
        <w:sz w:val="24"/>
        <w:szCs w:val="24"/>
      </w:rPr>
    </w:lvl>
    <w:lvl w:ilvl="3">
      <w:start w:val="1"/>
      <w:numFmt w:val="bullet"/>
      <w:lvlText w:val="·"/>
      <w:lvlJc w:val="left"/>
      <w:pPr>
        <w:ind w:left="2880" w:hanging="360"/>
      </w:pPr>
      <w:rPr>
        <w:rFonts w:ascii="Symbol" w:hAnsi="Symbol" w:cs="Symbol" w:hint="default"/>
        <w:sz w:val="24"/>
        <w:szCs w:val="24"/>
      </w:rPr>
    </w:lvl>
    <w:lvl w:ilvl="4">
      <w:start w:val="1"/>
      <w:numFmt w:val="bullet"/>
      <w:lvlText w:val="o"/>
      <w:lvlJc w:val="left"/>
      <w:pPr>
        <w:ind w:left="3600" w:hanging="360"/>
      </w:pPr>
      <w:rPr>
        <w:rFonts w:ascii="Courier New" w:hAnsi="Courier New" w:cs="Courier New" w:hint="default"/>
        <w:sz w:val="24"/>
        <w:szCs w:val="24"/>
      </w:rPr>
    </w:lvl>
    <w:lvl w:ilvl="5">
      <w:start w:val="1"/>
      <w:numFmt w:val="bullet"/>
      <w:lvlText w:val="§"/>
      <w:lvlJc w:val="left"/>
      <w:pPr>
        <w:ind w:left="4320" w:hanging="360"/>
      </w:pPr>
      <w:rPr>
        <w:rFonts w:ascii="Wingdings" w:hAnsi="Wingdings" w:cs="Wingdings" w:hint="default"/>
        <w:sz w:val="24"/>
        <w:szCs w:val="24"/>
      </w:rPr>
    </w:lvl>
    <w:lvl w:ilvl="6">
      <w:start w:val="1"/>
      <w:numFmt w:val="bullet"/>
      <w:lvlText w:val="·"/>
      <w:lvlJc w:val="left"/>
      <w:pPr>
        <w:ind w:left="5040" w:hanging="360"/>
      </w:pPr>
      <w:rPr>
        <w:rFonts w:ascii="Symbol" w:hAnsi="Symbol" w:cs="Symbol" w:hint="default"/>
        <w:sz w:val="24"/>
        <w:szCs w:val="24"/>
      </w:rPr>
    </w:lvl>
    <w:lvl w:ilvl="7">
      <w:start w:val="1"/>
      <w:numFmt w:val="bullet"/>
      <w:lvlText w:val="o"/>
      <w:lvlJc w:val="left"/>
      <w:pPr>
        <w:ind w:left="5760" w:hanging="360"/>
      </w:pPr>
      <w:rPr>
        <w:rFonts w:ascii="Courier New" w:hAnsi="Courier New" w:cs="Courier New" w:hint="default"/>
        <w:sz w:val="24"/>
        <w:szCs w:val="24"/>
      </w:rPr>
    </w:lvl>
    <w:lvl w:ilvl="8">
      <w:start w:val="1"/>
      <w:numFmt w:val="bullet"/>
      <w:lvlText w:val="§"/>
      <w:lvlJc w:val="left"/>
      <w:pPr>
        <w:ind w:left="6480" w:hanging="360"/>
      </w:pPr>
      <w:rPr>
        <w:rFonts w:ascii="Wingdings" w:hAnsi="Wingdings" w:cs="Wingdings" w:hint="default"/>
        <w:sz w:val="24"/>
        <w:szCs w:val="24"/>
      </w:rPr>
    </w:lvl>
  </w:abstractNum>
  <w:abstractNum w:abstractNumId="12">
    <w:lvl w:ilvl="0">
      <w:start w:val="1"/>
      <w:numFmt w:val="bullet"/>
      <w:lvlText w:val="-"/>
      <w:lvlJc w:val="left"/>
      <w:pPr>
        <w:tabs>
          <w:tab w:val="num" w:pos="1440"/>
        </w:tabs>
        <w:ind w:left="1440" w:hanging="360"/>
      </w:pPr>
      <w:rPr>
        <w:rFonts w:ascii="Times New Roman" w:hAnsi="Times New Roman" w:cs="Times New Roman" w:hint="default"/>
        <w:sz w:val="24"/>
        <w:szCs w:val="24"/>
      </w:rPr>
    </w:lvl>
    <w:lvl w:ilvl="1">
      <w:start w:val="1"/>
      <w:numFmt w:val="bullet"/>
      <w:lvlText w:val="o"/>
      <w:lvlJc w:val="left"/>
      <w:pPr>
        <w:tabs>
          <w:tab w:val="num" w:pos="2145"/>
        </w:tabs>
        <w:ind w:left="2145" w:hanging="360"/>
      </w:pPr>
      <w:rPr>
        <w:rFonts w:ascii="Courier New" w:hAnsi="Courier New" w:cs="Courier New" w:hint="default"/>
        <w:sz w:val="24"/>
        <w:szCs w:val="24"/>
      </w:rPr>
    </w:lvl>
    <w:lvl w:ilvl="2">
      <w:start w:val="1"/>
      <w:numFmt w:val="bullet"/>
      <w:lvlText w:val="§"/>
      <w:lvlJc w:val="left"/>
      <w:pPr>
        <w:tabs>
          <w:tab w:val="num" w:pos="2865"/>
        </w:tabs>
        <w:ind w:left="2865" w:hanging="360"/>
      </w:pPr>
      <w:rPr>
        <w:rFonts w:ascii="Wingdings" w:hAnsi="Wingdings" w:cs="Wingdings" w:hint="default"/>
        <w:sz w:val="24"/>
        <w:szCs w:val="24"/>
      </w:rPr>
    </w:lvl>
    <w:lvl w:ilvl="3">
      <w:start w:val="1"/>
      <w:numFmt w:val="bullet"/>
      <w:lvlText w:val="·"/>
      <w:lvlJc w:val="left"/>
      <w:pPr>
        <w:tabs>
          <w:tab w:val="num" w:pos="3585"/>
        </w:tabs>
        <w:ind w:left="3585" w:hanging="360"/>
      </w:pPr>
      <w:rPr>
        <w:rFonts w:ascii="Symbol" w:hAnsi="Symbol" w:cs="Symbol" w:hint="default"/>
        <w:sz w:val="24"/>
        <w:szCs w:val="24"/>
      </w:rPr>
    </w:lvl>
    <w:lvl w:ilvl="4">
      <w:start w:val="1"/>
      <w:numFmt w:val="bullet"/>
      <w:lvlText w:val="o"/>
      <w:lvlJc w:val="left"/>
      <w:pPr>
        <w:tabs>
          <w:tab w:val="num" w:pos="4305"/>
        </w:tabs>
        <w:ind w:left="4305" w:hanging="360"/>
      </w:pPr>
      <w:rPr>
        <w:rFonts w:ascii="Courier New" w:hAnsi="Courier New" w:cs="Courier New" w:hint="default"/>
        <w:sz w:val="24"/>
        <w:szCs w:val="24"/>
      </w:rPr>
    </w:lvl>
    <w:lvl w:ilvl="5">
      <w:start w:val="1"/>
      <w:numFmt w:val="bullet"/>
      <w:lvlText w:val="§"/>
      <w:lvlJc w:val="left"/>
      <w:pPr>
        <w:tabs>
          <w:tab w:val="num" w:pos="5025"/>
        </w:tabs>
        <w:ind w:left="5025" w:hanging="360"/>
      </w:pPr>
      <w:rPr>
        <w:rFonts w:ascii="Wingdings" w:hAnsi="Wingdings" w:cs="Wingdings" w:hint="default"/>
        <w:sz w:val="24"/>
        <w:szCs w:val="24"/>
      </w:rPr>
    </w:lvl>
    <w:lvl w:ilvl="6">
      <w:start w:val="1"/>
      <w:numFmt w:val="bullet"/>
      <w:lvlText w:val="·"/>
      <w:lvlJc w:val="left"/>
      <w:pPr>
        <w:tabs>
          <w:tab w:val="num" w:pos="5745"/>
        </w:tabs>
        <w:ind w:left="5745" w:hanging="360"/>
      </w:pPr>
      <w:rPr>
        <w:rFonts w:ascii="Symbol" w:hAnsi="Symbol" w:cs="Symbol" w:hint="default"/>
        <w:sz w:val="24"/>
        <w:szCs w:val="24"/>
      </w:rPr>
    </w:lvl>
    <w:lvl w:ilvl="7">
      <w:start w:val="1"/>
      <w:numFmt w:val="bullet"/>
      <w:lvlText w:val="o"/>
      <w:lvlJc w:val="left"/>
      <w:pPr>
        <w:tabs>
          <w:tab w:val="num" w:pos="6465"/>
        </w:tabs>
        <w:ind w:left="6465" w:hanging="360"/>
      </w:pPr>
      <w:rPr>
        <w:rFonts w:ascii="Courier New" w:hAnsi="Courier New" w:cs="Courier New" w:hint="default"/>
        <w:sz w:val="24"/>
        <w:szCs w:val="24"/>
      </w:rPr>
    </w:lvl>
    <w:lvl w:ilvl="8">
      <w:start w:val="1"/>
      <w:numFmt w:val="bullet"/>
      <w:lvlText w:val="§"/>
      <w:lvlJc w:val="left"/>
      <w:pPr>
        <w:tabs>
          <w:tab w:val="num" w:pos="7185"/>
        </w:tabs>
        <w:ind w:left="7185" w:hanging="360"/>
      </w:pPr>
      <w:rPr>
        <w:rFonts w:ascii="Wingdings" w:hAnsi="Wingdings" w:cs="Wingdings" w:hint="default"/>
        <w:sz w:val="24"/>
        <w:szCs w:val="24"/>
      </w:rPr>
    </w:lvl>
  </w:abstractNum>
  <w:abstractNum w:abstractNumId="13">
    <w:lvl w:ilvl="0">
      <w:start w:val="1"/>
      <w:numFmt w:val="bullet"/>
      <w:lvlText w:val="-"/>
      <w:lvlJc w:val="left"/>
      <w:pPr>
        <w:tabs>
          <w:tab w:val="num" w:pos="360"/>
        </w:tabs>
        <w:ind w:left="360" w:hanging="360"/>
      </w:pPr>
      <w:rPr>
        <w:rFonts w:ascii="Arial" w:hAnsi="Arial" w:cs="Arial" w:hint="default"/>
        <w:sz w:val="24"/>
        <w:szCs w:val="24"/>
      </w:rPr>
    </w:lvl>
    <w:lvl w:ilvl="1">
      <w:start w:val="1"/>
      <w:numFmt w:val="bullet"/>
      <w:lvlText w:val="o"/>
      <w:lvlJc w:val="left"/>
      <w:pPr>
        <w:tabs>
          <w:tab w:val="num" w:pos="1650"/>
        </w:tabs>
        <w:ind w:left="1650" w:hanging="360"/>
      </w:pPr>
      <w:rPr>
        <w:rFonts w:ascii="Courier New" w:hAnsi="Courier New" w:cs="Courier New" w:hint="default"/>
        <w:sz w:val="24"/>
        <w:szCs w:val="24"/>
      </w:rPr>
    </w:lvl>
    <w:lvl w:ilvl="2">
      <w:start w:val="1"/>
      <w:numFmt w:val="bullet"/>
      <w:lvlText w:val="§"/>
      <w:lvlJc w:val="left"/>
      <w:pPr>
        <w:tabs>
          <w:tab w:val="num" w:pos="2370"/>
        </w:tabs>
        <w:ind w:left="2370" w:hanging="360"/>
      </w:pPr>
      <w:rPr>
        <w:rFonts w:ascii="Wingdings" w:hAnsi="Wingdings" w:cs="Wingdings" w:hint="default"/>
        <w:sz w:val="24"/>
        <w:szCs w:val="24"/>
      </w:rPr>
    </w:lvl>
    <w:lvl w:ilvl="3">
      <w:start w:val="1"/>
      <w:numFmt w:val="bullet"/>
      <w:lvlText w:val="·"/>
      <w:lvlJc w:val="left"/>
      <w:pPr>
        <w:tabs>
          <w:tab w:val="num" w:pos="3090"/>
        </w:tabs>
        <w:ind w:left="3090" w:hanging="360"/>
      </w:pPr>
      <w:rPr>
        <w:rFonts w:ascii="Symbol" w:hAnsi="Symbol" w:cs="Symbol" w:hint="default"/>
        <w:sz w:val="24"/>
        <w:szCs w:val="24"/>
      </w:rPr>
    </w:lvl>
    <w:lvl w:ilvl="4">
      <w:start w:val="1"/>
      <w:numFmt w:val="bullet"/>
      <w:lvlText w:val="o"/>
      <w:lvlJc w:val="left"/>
      <w:pPr>
        <w:tabs>
          <w:tab w:val="num" w:pos="3810"/>
        </w:tabs>
        <w:ind w:left="3810" w:hanging="360"/>
      </w:pPr>
      <w:rPr>
        <w:rFonts w:ascii="Courier New" w:hAnsi="Courier New" w:cs="Courier New" w:hint="default"/>
        <w:sz w:val="24"/>
        <w:szCs w:val="24"/>
      </w:rPr>
    </w:lvl>
    <w:lvl w:ilvl="5">
      <w:start w:val="1"/>
      <w:numFmt w:val="bullet"/>
      <w:lvlText w:val="§"/>
      <w:lvlJc w:val="left"/>
      <w:pPr>
        <w:tabs>
          <w:tab w:val="num" w:pos="4530"/>
        </w:tabs>
        <w:ind w:left="4530" w:hanging="360"/>
      </w:pPr>
      <w:rPr>
        <w:rFonts w:ascii="Wingdings" w:hAnsi="Wingdings" w:cs="Wingdings" w:hint="default"/>
        <w:sz w:val="24"/>
        <w:szCs w:val="24"/>
      </w:rPr>
    </w:lvl>
    <w:lvl w:ilvl="6">
      <w:start w:val="1"/>
      <w:numFmt w:val="bullet"/>
      <w:lvlText w:val="·"/>
      <w:lvlJc w:val="left"/>
      <w:pPr>
        <w:tabs>
          <w:tab w:val="num" w:pos="5250"/>
        </w:tabs>
        <w:ind w:left="5250" w:hanging="360"/>
      </w:pPr>
      <w:rPr>
        <w:rFonts w:ascii="Symbol" w:hAnsi="Symbol" w:cs="Symbol" w:hint="default"/>
        <w:sz w:val="24"/>
        <w:szCs w:val="24"/>
      </w:rPr>
    </w:lvl>
    <w:lvl w:ilvl="7">
      <w:start w:val="1"/>
      <w:numFmt w:val="bullet"/>
      <w:lvlText w:val="o"/>
      <w:lvlJc w:val="left"/>
      <w:pPr>
        <w:tabs>
          <w:tab w:val="num" w:pos="5970"/>
        </w:tabs>
        <w:ind w:left="5970" w:hanging="360"/>
      </w:pPr>
      <w:rPr>
        <w:rFonts w:ascii="Courier New" w:hAnsi="Courier New" w:cs="Courier New" w:hint="default"/>
        <w:sz w:val="24"/>
        <w:szCs w:val="24"/>
      </w:rPr>
    </w:lvl>
    <w:lvl w:ilvl="8">
      <w:start w:val="1"/>
      <w:numFmt w:val="bullet"/>
      <w:lvlText w:val="§"/>
      <w:lvlJc w:val="left"/>
      <w:pPr>
        <w:tabs>
          <w:tab w:val="num" w:pos="6690"/>
        </w:tabs>
        <w:ind w:left="6690" w:hanging="360"/>
      </w:pPr>
      <w:rPr>
        <w:rFonts w:ascii="Wingdings" w:hAnsi="Wingdings" w:cs="Wingdings" w:hint="default"/>
        <w:sz w:val="24"/>
        <w:szCs w:val="24"/>
      </w:rPr>
    </w:lvl>
  </w:abstractNum>
  <w:abstractNum w:abstractNumId="1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15">
    <w:lvl w:ilvl="0">
      <w:start w:val="1"/>
      <w:numFmt w:val="bullet"/>
      <w:lvlText w:val="·"/>
      <w:lvlJc w:val="left"/>
      <w:pPr>
        <w:tabs>
          <w:tab w:val="num" w:pos="360"/>
        </w:tabs>
        <w:ind w:left="360" w:hanging="360"/>
      </w:pPr>
      <w:rPr>
        <w:rFonts w:ascii="Symbol" w:hAnsi="Symbol" w:cs="Symbol" w:hint="default"/>
        <w:sz w:val="24"/>
        <w:szCs w:val="24"/>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Wingdings" w:hAnsi="Wingdings" w:cs="Wingdings"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Courier New" w:hAnsi="Courier New" w:cs="Courier New" w:hint="default"/>
        <w:sz w:val="24"/>
        <w:szCs w:val="24"/>
      </w:rPr>
    </w:lvl>
    <w:lvl w:ilvl="5">
      <w:start w:val="1"/>
      <w:numFmt w:val="bullet"/>
      <w:lvlText w:val="§"/>
      <w:lvlJc w:val="left"/>
      <w:pPr>
        <w:tabs>
          <w:tab w:val="num" w:pos="3960"/>
        </w:tabs>
        <w:ind w:left="3960" w:hanging="360"/>
      </w:pPr>
      <w:rPr>
        <w:rFonts w:ascii="Wingdings" w:hAnsi="Wingdings" w:cs="Wingdings"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Courier New" w:hAnsi="Courier New" w:cs="Courier New" w:hint="default"/>
        <w:sz w:val="24"/>
        <w:szCs w:val="24"/>
      </w:rPr>
    </w:lvl>
    <w:lvl w:ilvl="8">
      <w:start w:val="1"/>
      <w:numFmt w:val="bullet"/>
      <w:lvlText w:val="§"/>
      <w:lvlJc w:val="left"/>
      <w:pPr>
        <w:tabs>
          <w:tab w:val="num" w:pos="6120"/>
        </w:tabs>
        <w:ind w:left="6120" w:hanging="360"/>
      </w:pPr>
      <w:rPr>
        <w:rFonts w:ascii="Wingdings" w:hAnsi="Wingdings" w:cs="Wingdings" w:hint="default"/>
        <w:sz w:val="24"/>
        <w:szCs w:val="24"/>
      </w:rPr>
    </w:lvl>
  </w:abstractNum>
  <w:abstractNum w:abstractNumId="16">
    <w:lvl w:ilvl="0">
      <w:start w:val="1"/>
      <w:numFmt w:val="bullet"/>
      <w:lvlText w:val="-"/>
      <w:lvlJc w:val="left"/>
      <w:pPr>
        <w:tabs>
          <w:tab w:val="num" w:pos="420"/>
        </w:tabs>
        <w:ind w:left="420" w:hanging="360"/>
      </w:pPr>
      <w:rPr>
        <w:rFonts w:ascii="Arial" w:hAnsi="Arial" w:cs="Arial" w:hint="default"/>
        <w:sz w:val="24"/>
        <w:szCs w:val="24"/>
      </w:rPr>
    </w:lvl>
    <w:lvl w:ilvl="1">
      <w:start w:val="1"/>
      <w:numFmt w:val="bullet"/>
      <w:lvlText w:val="o"/>
      <w:lvlJc w:val="left"/>
      <w:pPr>
        <w:tabs>
          <w:tab w:val="num" w:pos="1710"/>
        </w:tabs>
        <w:ind w:left="1710" w:hanging="360"/>
      </w:pPr>
      <w:rPr>
        <w:rFonts w:ascii="Courier New" w:hAnsi="Courier New" w:cs="Courier New" w:hint="default"/>
        <w:sz w:val="24"/>
        <w:szCs w:val="24"/>
      </w:rPr>
    </w:lvl>
    <w:lvl w:ilvl="2">
      <w:start w:val="1"/>
      <w:numFmt w:val="bullet"/>
      <w:lvlText w:val="§"/>
      <w:lvlJc w:val="left"/>
      <w:pPr>
        <w:tabs>
          <w:tab w:val="num" w:pos="2430"/>
        </w:tabs>
        <w:ind w:left="2430" w:hanging="360"/>
      </w:pPr>
      <w:rPr>
        <w:rFonts w:ascii="Wingdings" w:hAnsi="Wingdings" w:cs="Wingdings" w:hint="default"/>
        <w:sz w:val="24"/>
        <w:szCs w:val="24"/>
      </w:rPr>
    </w:lvl>
    <w:lvl w:ilvl="3">
      <w:start w:val="1"/>
      <w:numFmt w:val="bullet"/>
      <w:lvlText w:val="·"/>
      <w:lvlJc w:val="left"/>
      <w:pPr>
        <w:tabs>
          <w:tab w:val="num" w:pos="3150"/>
        </w:tabs>
        <w:ind w:left="3150" w:hanging="360"/>
      </w:pPr>
      <w:rPr>
        <w:rFonts w:ascii="Symbol" w:hAnsi="Symbol" w:cs="Symbol" w:hint="default"/>
        <w:sz w:val="24"/>
        <w:szCs w:val="24"/>
      </w:rPr>
    </w:lvl>
    <w:lvl w:ilvl="4">
      <w:start w:val="1"/>
      <w:numFmt w:val="bullet"/>
      <w:lvlText w:val="o"/>
      <w:lvlJc w:val="left"/>
      <w:pPr>
        <w:tabs>
          <w:tab w:val="num" w:pos="3870"/>
        </w:tabs>
        <w:ind w:left="3870" w:hanging="360"/>
      </w:pPr>
      <w:rPr>
        <w:rFonts w:ascii="Courier New" w:hAnsi="Courier New" w:cs="Courier New" w:hint="default"/>
        <w:sz w:val="24"/>
        <w:szCs w:val="24"/>
      </w:rPr>
    </w:lvl>
    <w:lvl w:ilvl="5">
      <w:start w:val="1"/>
      <w:numFmt w:val="bullet"/>
      <w:lvlText w:val="§"/>
      <w:lvlJc w:val="left"/>
      <w:pPr>
        <w:tabs>
          <w:tab w:val="num" w:pos="4590"/>
        </w:tabs>
        <w:ind w:left="4590" w:hanging="360"/>
      </w:pPr>
      <w:rPr>
        <w:rFonts w:ascii="Wingdings" w:hAnsi="Wingdings" w:cs="Wingdings" w:hint="default"/>
        <w:sz w:val="24"/>
        <w:szCs w:val="24"/>
      </w:rPr>
    </w:lvl>
    <w:lvl w:ilvl="6">
      <w:start w:val="1"/>
      <w:numFmt w:val="bullet"/>
      <w:lvlText w:val="·"/>
      <w:lvlJc w:val="left"/>
      <w:pPr>
        <w:tabs>
          <w:tab w:val="num" w:pos="5310"/>
        </w:tabs>
        <w:ind w:left="5310" w:hanging="360"/>
      </w:pPr>
      <w:rPr>
        <w:rFonts w:ascii="Symbol" w:hAnsi="Symbol" w:cs="Symbol" w:hint="default"/>
        <w:sz w:val="24"/>
        <w:szCs w:val="24"/>
      </w:rPr>
    </w:lvl>
    <w:lvl w:ilvl="7">
      <w:start w:val="1"/>
      <w:numFmt w:val="bullet"/>
      <w:lvlText w:val="o"/>
      <w:lvlJc w:val="left"/>
      <w:pPr>
        <w:tabs>
          <w:tab w:val="num" w:pos="6030"/>
        </w:tabs>
        <w:ind w:left="6030" w:hanging="360"/>
      </w:pPr>
      <w:rPr>
        <w:rFonts w:ascii="Courier New" w:hAnsi="Courier New" w:cs="Courier New" w:hint="default"/>
        <w:sz w:val="24"/>
        <w:szCs w:val="24"/>
      </w:rPr>
    </w:lvl>
    <w:lvl w:ilvl="8">
      <w:start w:val="1"/>
      <w:numFmt w:val="bullet"/>
      <w:lvlText w:val="§"/>
      <w:lvlJc w:val="left"/>
      <w:pPr>
        <w:tabs>
          <w:tab w:val="num" w:pos="6750"/>
        </w:tabs>
        <w:ind w:left="6750" w:hanging="360"/>
      </w:pPr>
      <w:rPr>
        <w:rFonts w:ascii="Wingdings" w:hAnsi="Wingdings" w:cs="Wingdings" w:hint="default"/>
        <w:sz w:val="24"/>
        <w:szCs w:val="24"/>
      </w:rPr>
    </w:lvl>
  </w:abstractNum>
  <w:abstractNum w:abstractNumId="17">
    <w:lvl w:ilvl="0">
      <w:start w:val="1"/>
      <w:numFmt w:val="bullet"/>
      <w:lvlText w:val="-"/>
      <w:lvlJc w:val="left"/>
      <w:pPr>
        <w:tabs>
          <w:tab w:val="num" w:pos="360"/>
        </w:tabs>
        <w:ind w:left="360" w:hanging="360"/>
      </w:pPr>
      <w:rPr>
        <w:rFonts w:ascii="Arial" w:hAnsi="Arial" w:cs="Arial" w:hint="default"/>
        <w:sz w:val="22"/>
        <w:szCs w:val="22"/>
      </w:rPr>
    </w:lvl>
    <w:lvl w:ilvl="1">
      <w:start w:val="1"/>
      <w:numFmt w:val="bullet"/>
      <w:lvlText w:val="o"/>
      <w:lvlJc w:val="left"/>
      <w:pPr>
        <w:tabs>
          <w:tab w:val="num" w:pos="1080"/>
        </w:tabs>
        <w:ind w:left="1080" w:hanging="360"/>
      </w:pPr>
      <w:rPr>
        <w:rFonts w:ascii="Courier New" w:hAnsi="Courier New" w:cs="Courier New" w:hint="default"/>
        <w:sz w:val="24"/>
        <w:szCs w:val="24"/>
      </w:rPr>
    </w:lvl>
    <w:lvl w:ilvl="2">
      <w:start w:val="1"/>
      <w:numFmt w:val="bullet"/>
      <w:lvlText w:val="§"/>
      <w:lvlJc w:val="left"/>
      <w:pPr>
        <w:tabs>
          <w:tab w:val="num" w:pos="1800"/>
        </w:tabs>
        <w:ind w:left="1800" w:hanging="360"/>
      </w:pPr>
      <w:rPr>
        <w:rFonts w:ascii="Wingdings" w:hAnsi="Wingdings" w:cs="Wingdings" w:hint="default"/>
        <w:sz w:val="24"/>
        <w:szCs w:val="24"/>
      </w:rPr>
    </w:lvl>
    <w:lvl w:ilvl="3">
      <w:start w:val="1"/>
      <w:numFmt w:val="bullet"/>
      <w:lvlText w:val="·"/>
      <w:lvlJc w:val="left"/>
      <w:pPr>
        <w:tabs>
          <w:tab w:val="num" w:pos="2520"/>
        </w:tabs>
        <w:ind w:left="2520" w:hanging="360"/>
      </w:pPr>
      <w:rPr>
        <w:rFonts w:ascii="Symbol" w:hAnsi="Symbol" w:cs="Symbol" w:hint="default"/>
        <w:sz w:val="24"/>
        <w:szCs w:val="24"/>
      </w:rPr>
    </w:lvl>
    <w:lvl w:ilvl="4">
      <w:start w:val="1"/>
      <w:numFmt w:val="bullet"/>
      <w:lvlText w:val="o"/>
      <w:lvlJc w:val="left"/>
      <w:pPr>
        <w:tabs>
          <w:tab w:val="num" w:pos="3240"/>
        </w:tabs>
        <w:ind w:left="3240" w:hanging="360"/>
      </w:pPr>
      <w:rPr>
        <w:rFonts w:ascii="Courier New" w:hAnsi="Courier New" w:cs="Courier New" w:hint="default"/>
        <w:sz w:val="24"/>
        <w:szCs w:val="24"/>
      </w:rPr>
    </w:lvl>
    <w:lvl w:ilvl="5">
      <w:start w:val="1"/>
      <w:numFmt w:val="bullet"/>
      <w:lvlText w:val="§"/>
      <w:lvlJc w:val="left"/>
      <w:pPr>
        <w:tabs>
          <w:tab w:val="num" w:pos="3960"/>
        </w:tabs>
        <w:ind w:left="3960" w:hanging="360"/>
      </w:pPr>
      <w:rPr>
        <w:rFonts w:ascii="Wingdings" w:hAnsi="Wingdings" w:cs="Wingdings" w:hint="default"/>
        <w:sz w:val="24"/>
        <w:szCs w:val="24"/>
      </w:rPr>
    </w:lvl>
    <w:lvl w:ilvl="6">
      <w:start w:val="1"/>
      <w:numFmt w:val="bullet"/>
      <w:lvlText w:val="·"/>
      <w:lvlJc w:val="left"/>
      <w:pPr>
        <w:tabs>
          <w:tab w:val="num" w:pos="4680"/>
        </w:tabs>
        <w:ind w:left="4680" w:hanging="360"/>
      </w:pPr>
      <w:rPr>
        <w:rFonts w:ascii="Symbol" w:hAnsi="Symbol" w:cs="Symbol" w:hint="default"/>
        <w:sz w:val="24"/>
        <w:szCs w:val="24"/>
      </w:rPr>
    </w:lvl>
    <w:lvl w:ilvl="7">
      <w:start w:val="1"/>
      <w:numFmt w:val="bullet"/>
      <w:lvlText w:val="o"/>
      <w:lvlJc w:val="left"/>
      <w:pPr>
        <w:tabs>
          <w:tab w:val="num" w:pos="5400"/>
        </w:tabs>
        <w:ind w:left="5400" w:hanging="360"/>
      </w:pPr>
      <w:rPr>
        <w:rFonts w:ascii="Courier New" w:hAnsi="Courier New" w:cs="Courier New" w:hint="default"/>
        <w:sz w:val="24"/>
        <w:szCs w:val="24"/>
      </w:rPr>
    </w:lvl>
    <w:lvl w:ilvl="8">
      <w:start w:val="1"/>
      <w:numFmt w:val="bullet"/>
      <w:lvlText w:val="§"/>
      <w:lvlJc w:val="left"/>
      <w:pPr>
        <w:tabs>
          <w:tab w:val="num" w:pos="6120"/>
        </w:tabs>
        <w:ind w:left="6120" w:hanging="360"/>
      </w:pPr>
      <w:rPr>
        <w:rFonts w:ascii="Wingdings" w:hAnsi="Wingdings" w:cs="Wingdings" w:hint="default"/>
        <w:sz w:val="24"/>
        <w:szCs w:val="24"/>
      </w:rPr>
    </w:lvl>
  </w:abstractNum>
  <w:abstractNum w:abstractNumId="18">
    <w:lvl w:ilvl="0">
      <w:start w:val="1"/>
      <w:numFmt w:val="upperLetter"/>
      <w:lvlText w:val="%1."/>
      <w:lvlJc w:val="left"/>
      <w:pPr>
        <w:tabs>
          <w:tab w:val="num" w:pos="360"/>
        </w:tabs>
        <w:ind w:left="360" w:hanging="360"/>
      </w:pPr>
      <w:rPr>
        <w:sz w:val="24"/>
        <w:b/>
        <w:szCs w:val="24"/>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lowerLetter"/>
      <w:lvlText w:val="%1)"/>
      <w:lvlJc w:val="left"/>
      <w:pPr>
        <w:tabs>
          <w:tab w:val="num" w:pos="720"/>
        </w:tabs>
        <w:ind w:left="720" w:hanging="360"/>
      </w:pPr>
      <w:rPr>
        <w:sz w:val="22"/>
        <w:szCs w:val="22"/>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20">
    <w:lvl w:ilvl="0">
      <w:start w:val="1"/>
      <w:numFmt w:val="bullet"/>
      <w:lvlText w:val="-"/>
      <w:lvlJc w:val="left"/>
      <w:pPr>
        <w:tabs>
          <w:tab w:val="num" w:pos="720"/>
        </w:tabs>
        <w:ind w:left="720" w:hanging="360"/>
      </w:pPr>
      <w:rPr>
        <w:rFonts w:ascii="Arial" w:hAnsi="Arial" w:cs="Aria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21">
    <w:lvl w:ilvl="0">
      <w:start w:val="1"/>
      <w:numFmt w:val="bullet"/>
      <w:lvlText w:val="·"/>
      <w:lvlJc w:val="left"/>
      <w:pPr>
        <w:tabs>
          <w:tab w:val="num" w:pos="720"/>
        </w:tabs>
        <w:ind w:left="720" w:hanging="360"/>
      </w:pPr>
      <w:rPr>
        <w:rFonts w:ascii="Symbol" w:hAnsi="Symbol" w:cs="Symbol" w:hint="default"/>
        <w:sz w:val="22"/>
        <w:szCs w:val="22"/>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Wingdings" w:hAnsi="Wingdings" w:cs="Wingdings" w:hint="default"/>
        <w:sz w:val="24"/>
        <w:szCs w:val="24"/>
      </w:rPr>
    </w:lvl>
    <w:lvl w:ilvl="3">
      <w:start w:val="1"/>
      <w:numFmt w:val="bullet"/>
      <w:lvlText w:val="·"/>
      <w:lvlJc w:val="left"/>
      <w:pPr>
        <w:tabs>
          <w:tab w:val="num" w:pos="2880"/>
        </w:tabs>
        <w:ind w:left="2880" w:hanging="360"/>
      </w:pPr>
      <w:rPr>
        <w:rFonts w:ascii="Symbol" w:hAnsi="Symbol" w:cs="Symbol" w:hint="default"/>
        <w:sz w:val="24"/>
        <w:szCs w:val="24"/>
      </w:rPr>
    </w:lvl>
    <w:lvl w:ilvl="4">
      <w:start w:val="1"/>
      <w:numFmt w:val="bullet"/>
      <w:lvlText w:val="o"/>
      <w:lvlJc w:val="left"/>
      <w:pPr>
        <w:tabs>
          <w:tab w:val="num" w:pos="3600"/>
        </w:tabs>
        <w:ind w:left="3600" w:hanging="360"/>
      </w:pPr>
      <w:rPr>
        <w:rFonts w:ascii="Courier New" w:hAnsi="Courier New" w:cs="Courier New" w:hint="default"/>
        <w:sz w:val="24"/>
        <w:szCs w:val="24"/>
      </w:rPr>
    </w:lvl>
    <w:lvl w:ilvl="5">
      <w:start w:val="1"/>
      <w:numFmt w:val="bullet"/>
      <w:lvlText w:val="§"/>
      <w:lvlJc w:val="left"/>
      <w:pPr>
        <w:tabs>
          <w:tab w:val="num" w:pos="4320"/>
        </w:tabs>
        <w:ind w:left="4320" w:hanging="360"/>
      </w:pPr>
      <w:rPr>
        <w:rFonts w:ascii="Wingdings" w:hAnsi="Wingdings" w:cs="Wingdings" w:hint="default"/>
        <w:sz w:val="24"/>
        <w:szCs w:val="24"/>
      </w:rPr>
    </w:lvl>
    <w:lvl w:ilvl="6">
      <w:start w:val="1"/>
      <w:numFmt w:val="bullet"/>
      <w:lvlText w:val="·"/>
      <w:lvlJc w:val="left"/>
      <w:pPr>
        <w:tabs>
          <w:tab w:val="num" w:pos="5040"/>
        </w:tabs>
        <w:ind w:left="5040" w:hanging="360"/>
      </w:pPr>
      <w:rPr>
        <w:rFonts w:ascii="Symbol" w:hAnsi="Symbol" w:cs="Symbol" w:hint="default"/>
        <w:sz w:val="24"/>
        <w:szCs w:val="24"/>
      </w:rPr>
    </w:lvl>
    <w:lvl w:ilvl="7">
      <w:start w:val="1"/>
      <w:numFmt w:val="bullet"/>
      <w:lvlText w:val="o"/>
      <w:lvlJc w:val="left"/>
      <w:pPr>
        <w:tabs>
          <w:tab w:val="num" w:pos="5760"/>
        </w:tabs>
        <w:ind w:left="5760" w:hanging="360"/>
      </w:pPr>
      <w:rPr>
        <w:rFonts w:ascii="Courier New" w:hAnsi="Courier New" w:cs="Courier New" w:hint="default"/>
        <w:sz w:val="24"/>
        <w:szCs w:val="24"/>
      </w:rPr>
    </w:lvl>
    <w:lvl w:ilvl="8">
      <w:start w:val="1"/>
      <w:numFmt w:val="bullet"/>
      <w:lvlText w:val="§"/>
      <w:lvlJc w:val="left"/>
      <w:pPr>
        <w:tabs>
          <w:tab w:val="num" w:pos="6480"/>
        </w:tabs>
        <w:ind w:left="6480" w:hanging="360"/>
      </w:pPr>
      <w:rPr>
        <w:rFonts w:ascii="Wingdings" w:hAnsi="Wingdings" w:cs="Wingdings" w:hint="default"/>
        <w:sz w:val="24"/>
        <w:szCs w:val="24"/>
      </w:rPr>
    </w:lvl>
  </w:abstractNum>
  <w:abstractNum w:abstractNumId="2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w="http://schemas.openxmlformats.org/wordprocessingml/2006/main">
  <w:zoom w:percent="110"/>
  <w:defaultTabStop w:val="708"/>
</w:settings>
</file>

<file path=word/styles.xml><?xml version="1.0" encoding="utf-8"?>
<w:styles xmlns:w="http://schemas.openxmlformats.org/wordprocessingml/2006/main">
  <w:docDefaults>
    <w:rPrDefault>
      <w:rPr>
        <w:rFonts w:ascii="Calibri" w:hAnsi="Calibri" w:eastAsia="Droid Sans Fallback" w:cs="Calibri"/>
        <w:sz w:val="22"/>
        <w:szCs w:val="22"/>
        <w:lang w:val="ro-RO" w:eastAsia="en-US" w:bidi="ar-SA"/>
      </w:rPr>
    </w:rPrDefault>
    <w:pPrDefault>
      <w:pPr>
        <w:spacing w:lineRule="auto" w:line="276"/>
      </w:pPr>
    </w:pPrDefault>
  </w:docDefaults>
  <w:latentStyles w:defQFormat="0" w:defUnhideWhenUsed="1" w:count="267"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header"/>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c6190f"/>
    <w:pPr>
      <w:widowControl/>
      <w:suppressAutoHyphens w:val="true"/>
      <w:bidi w:val="0"/>
      <w:spacing w:lineRule="auto" w:line="276" w:before="0" w:after="200"/>
      <w:jc w:val="left"/>
    </w:pPr>
    <w:rPr>
      <w:rFonts w:ascii="Calibri" w:hAnsi="Calibri" w:eastAsia="Calibri" w:cs="Times New Roman"/>
      <w:color w:val="auto"/>
      <w:sz w:val="22"/>
      <w:szCs w:val="22"/>
      <w:lang w:val="ro-RO" w:eastAsia="en-US" w:bidi="ar-SA"/>
    </w:rPr>
  </w:style>
  <w:style w:type="character" w:styleId="DefaultParagraphFont" w:default="1">
    <w:name w:val="Default Paragraph Font"/>
    <w:uiPriority w:val="1"/>
    <w:semiHidden/>
    <w:unhideWhenUsed/>
    <w:rPr/>
  </w:style>
  <w:style w:type="character" w:styleId="HeaderChar" w:customStyle="1">
    <w:name w:val="Header Char"/>
    <w:semiHidden/>
    <w:link w:val="Header"/>
    <w:rsid w:val="00c6190f"/>
    <w:basedOn w:val="DefaultParagraphFont"/>
    <w:rPr>
      <w:rFonts w:ascii="Calibri" w:hAnsi="Calibri" w:eastAsia="Calibri" w:cs="Times New Roman"/>
    </w:rPr>
  </w:style>
  <w:style w:type="character" w:styleId="ListLabel1">
    <w:name w:val="ListLabel 1"/>
    <w:rPr>
      <w:rFonts w:cs="Courier New"/>
    </w:rPr>
  </w:style>
  <w:style w:type="character" w:styleId="ListLabel2">
    <w:name w:val="ListLabel 2"/>
    <w:rPr>
      <w:rFonts w:cs="Symbol"/>
      <w:sz w:val="24"/>
      <w:szCs w:val="24"/>
    </w:rPr>
  </w:style>
  <w:style w:type="character" w:styleId="ListLabel3">
    <w:name w:val="ListLabel 3"/>
    <w:rPr>
      <w:rFonts w:cs="Courier New"/>
      <w:sz w:val="24"/>
      <w:szCs w:val="24"/>
    </w:rPr>
  </w:style>
  <w:style w:type="character" w:styleId="ListLabel4">
    <w:name w:val="ListLabel 4"/>
    <w:rPr>
      <w:rFonts w:cs="Wingdings"/>
      <w:sz w:val="24"/>
      <w:szCs w:val="24"/>
    </w:rPr>
  </w:style>
  <w:style w:type="character" w:styleId="ListLabel5">
    <w:name w:val="ListLabel 5"/>
    <w:rPr>
      <w:rFonts w:cs="Times New Roman"/>
      <w:sz w:val="24"/>
      <w:szCs w:val="24"/>
    </w:rPr>
  </w:style>
  <w:style w:type="character" w:styleId="ListLabel6">
    <w:name w:val="ListLabel 6"/>
    <w:rPr>
      <w:rFonts w:cs="Symbol"/>
      <w:color w:val="00000A"/>
      <w:sz w:val="20"/>
      <w:szCs w:val="20"/>
    </w:rPr>
  </w:style>
  <w:style w:type="character" w:styleId="ListLabel7">
    <w:name w:val="ListLabel 7"/>
    <w:rPr>
      <w:rFonts w:cs="Symbol"/>
      <w:sz w:val="20"/>
      <w:szCs w:val="20"/>
    </w:rPr>
  </w:style>
  <w:style w:type="character" w:styleId="ListLabel8">
    <w:name w:val="ListLabel 8"/>
    <w:rPr>
      <w:rFonts w:cs="Times New Roman"/>
      <w:b/>
      <w:bCs/>
      <w:sz w:val="24"/>
      <w:szCs w:val="24"/>
    </w:rPr>
  </w:style>
  <w:style w:type="character" w:styleId="ListLabel9">
    <w:name w:val="ListLabel 9"/>
    <w:rPr>
      <w:rFonts w:cs="Arial"/>
      <w:sz w:val="24"/>
      <w:szCs w:val="24"/>
    </w:rPr>
  </w:style>
  <w:style w:type="character" w:styleId="ListLabel10">
    <w:name w:val="ListLabel 10"/>
    <w:rPr>
      <w:rFonts w:cs="Symbol"/>
      <w:b/>
      <w:bCs/>
      <w:i/>
      <w:iCs/>
      <w:sz w:val="24"/>
      <w:szCs w:val="24"/>
    </w:rPr>
  </w:style>
  <w:style w:type="character" w:styleId="ListLabel11">
    <w:name w:val="ListLabel 11"/>
    <w:rPr>
      <w:rFonts w:eastAsia="Times New Roman"/>
    </w:rPr>
  </w:style>
  <w:style w:type="character" w:styleId="ListLabel12">
    <w:name w:val="ListLabel 12"/>
    <w:rPr>
      <w:rFonts w:cs="Arial"/>
      <w:sz w:val="22"/>
      <w:szCs w:val="22"/>
    </w:rPr>
  </w:style>
  <w:style w:type="character" w:styleId="ListLabel13">
    <w:name w:val="ListLabel 13"/>
    <w:rPr>
      <w:rFonts w:cs="Times New Roman"/>
      <w:sz w:val="22"/>
      <w:szCs w:val="22"/>
    </w:rPr>
  </w:style>
  <w:style w:type="character" w:styleId="ListLabel14">
    <w:name w:val="ListLabel 14"/>
    <w:rPr>
      <w:rFonts w:cs="Symbol"/>
      <w:sz w:val="22"/>
      <w:szCs w:val="22"/>
    </w:rPr>
  </w:style>
  <w:style w:type="paragraph" w:styleId="Heading">
    <w:name w:val="Heading"/>
    <w:basedOn w:val="Normal"/>
    <w:next w:val="TextBody"/>
    <w:pPr>
      <w:keepNext/>
      <w:spacing w:before="240" w:after="120"/>
    </w:pPr>
    <w:rPr>
      <w:rFonts w:ascii="Liberation Sans" w:hAnsi="Liberation Sans" w:eastAsia="Droid Sans Fallback" w:cs="FreeSans"/>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FreeSans"/>
    </w:rPr>
  </w:style>
  <w:style w:type="paragraph" w:styleId="Caption">
    <w:name w:val="Caption"/>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Header">
    <w:name w:val="Header"/>
    <w:semiHidden/>
    <w:unhideWhenUsed/>
    <w:link w:val="HeaderChar"/>
    <w:rsid w:val="00c6190f"/>
    <w:basedOn w:val="Normal"/>
    <w:pPr>
      <w:tabs>
        <w:tab w:val="center" w:pos="4536" w:leader="none"/>
        <w:tab w:val="right" w:pos="9072" w:leader="none"/>
      </w:tabs>
      <w:spacing w:lineRule="auto" w:line="240" w:before="0" w:after="0"/>
    </w:pPr>
    <w:rPr/>
  </w:style>
  <w:style w:type="paragraph" w:styleId="ListParagraph">
    <w:name w:val="List Paragraph"/>
    <w:uiPriority w:val="34"/>
    <w:qFormat/>
    <w:rsid w:val="00c6190f"/>
    <w:basedOn w:val="Normal"/>
    <w:pPr>
      <w:spacing w:before="0" w:after="200"/>
      <w:ind w:left="720" w:right="0" w:hanging="0"/>
      <w:contextualSpacing/>
    </w:pPr>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Application>LibreOffice/4.2.7.2$Linux_X86_64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2014-09-30T10:14:00Z</dcterms:created>
  <dc:creator>Cristina Vasile</dc:creator>
  <dc:language>en-US</dc:language>
  <cp:lastModifiedBy>Cristina Vasile</cp:lastModifiedBy>
  <dcterms:modified xsi:type="dcterms:W3CDTF">2014-10-01T10:28:00Z</dcterms:modified>
  <cp:revision>16</cp:revision>
</cp:coreProperties>
</file>